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E6A1" w14:textId="77777777" w:rsidR="005D6BAF" w:rsidRDefault="00ED6CFF">
      <w:pPr>
        <w:pStyle w:val="Title"/>
        <w:spacing w:line="360" w:lineRule="auto"/>
        <w:rPr>
          <w:rFonts w:ascii="Times New Roman" w:hAnsi="Times New Roman"/>
          <w:b/>
          <w:szCs w:val="28"/>
          <w:lang w:val="es-MX"/>
        </w:rPr>
      </w:pPr>
      <w:r>
        <w:rPr>
          <w:rFonts w:ascii="Times New Roman" w:hAnsi="Times New Roman"/>
          <w:b/>
          <w:szCs w:val="28"/>
          <w:lang w:val="es-MX"/>
        </w:rPr>
        <w:t>JUAN J. VASQUEZ</w:t>
      </w:r>
    </w:p>
    <w:p w14:paraId="6CA97A8A" w14:textId="77777777" w:rsidR="005D6BAF" w:rsidRDefault="00ED6CFF">
      <w:pPr>
        <w:tabs>
          <w:tab w:val="left" w:pos="3168"/>
        </w:tabs>
        <w:jc w:val="center"/>
        <w:rPr>
          <w:sz w:val="22"/>
          <w:szCs w:val="22"/>
        </w:rPr>
      </w:pPr>
      <w:r>
        <w:rPr>
          <w:sz w:val="22"/>
          <w:szCs w:val="22"/>
          <w:lang w:val="es-MX"/>
        </w:rPr>
        <w:t xml:space="preserve">1008 Caddo Dr. </w:t>
      </w:r>
      <w:r>
        <w:rPr>
          <w:sz w:val="22"/>
          <w:szCs w:val="22"/>
        </w:rPr>
        <w:t>◊ Carrolton, TX 75010 ◊ (512) 587-9401 (Cell #) ◊ jtdvasquez@gmail.com</w:t>
      </w:r>
    </w:p>
    <w:p w14:paraId="3CCEE7FC" w14:textId="77777777" w:rsidR="005D6BAF" w:rsidRDefault="00ED6CF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68A67F18" w14:textId="77777777" w:rsidR="005D6BAF" w:rsidRPr="00ED6CFF" w:rsidRDefault="00ED6CFF">
      <w:pPr>
        <w:pStyle w:val="Heading2"/>
        <w:spacing w:before="120" w:after="120"/>
        <w:rPr>
          <w:sz w:val="21"/>
          <w:szCs w:val="21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EDUCATION</w:t>
      </w:r>
    </w:p>
    <w:p w14:paraId="56669FAC" w14:textId="77777777" w:rsidR="005D6BAF" w:rsidRPr="00ED6CFF" w:rsidRDefault="00ED6CFF">
      <w:pPr>
        <w:rPr>
          <w:sz w:val="21"/>
          <w:szCs w:val="21"/>
        </w:rPr>
      </w:pPr>
      <w:r w:rsidRPr="00ED6CFF">
        <w:rPr>
          <w:b/>
          <w:sz w:val="21"/>
          <w:szCs w:val="21"/>
        </w:rPr>
        <w:t>St. Mary’s University School of Law</w:t>
      </w:r>
      <w:r w:rsidRPr="00ED6CFF">
        <w:rPr>
          <w:sz w:val="21"/>
          <w:szCs w:val="21"/>
        </w:rPr>
        <w:t>, San Antonio, Texas</w:t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i/>
          <w:sz w:val="21"/>
          <w:szCs w:val="21"/>
        </w:rPr>
        <w:t>Juris Doctor, 2013</w:t>
      </w:r>
    </w:p>
    <w:p w14:paraId="3A086F2A" w14:textId="77777777" w:rsidR="005D6BAF" w:rsidRPr="00ED6CFF" w:rsidRDefault="00ED6CFF">
      <w:pPr>
        <w:rPr>
          <w:sz w:val="21"/>
          <w:szCs w:val="21"/>
        </w:rPr>
      </w:pPr>
      <w:r w:rsidRPr="00ED6CFF">
        <w:rPr>
          <w:sz w:val="21"/>
          <w:szCs w:val="21"/>
        </w:rPr>
        <w:t xml:space="preserve">Grade Point Average: 3.73, </w:t>
      </w:r>
      <w:r w:rsidRPr="00ED6CFF">
        <w:rPr>
          <w:i/>
          <w:sz w:val="21"/>
          <w:szCs w:val="21"/>
        </w:rPr>
        <w:t>Summa Cum Laude</w:t>
      </w:r>
    </w:p>
    <w:p w14:paraId="709D6463" w14:textId="77777777" w:rsidR="005D6BAF" w:rsidRPr="00ED6CFF" w:rsidRDefault="00ED6CFF">
      <w:pPr>
        <w:pStyle w:val="ListParagraph"/>
        <w:numPr>
          <w:ilvl w:val="0"/>
          <w:numId w:val="27"/>
        </w:numPr>
        <w:spacing w:after="120"/>
        <w:rPr>
          <w:sz w:val="21"/>
          <w:szCs w:val="21"/>
        </w:rPr>
      </w:pPr>
      <w:r w:rsidRPr="00ED6CFF">
        <w:rPr>
          <w:i/>
          <w:sz w:val="21"/>
          <w:szCs w:val="21"/>
        </w:rPr>
        <w:t>St. Mary’s Law Journal</w:t>
      </w:r>
      <w:r w:rsidRPr="00ED6CFF">
        <w:rPr>
          <w:sz w:val="21"/>
          <w:szCs w:val="21"/>
        </w:rPr>
        <w:t>, Staff Writer, 2011-2012</w:t>
      </w:r>
    </w:p>
    <w:p w14:paraId="61212AC4" w14:textId="77777777" w:rsidR="005D6BAF" w:rsidRPr="00ED6CFF" w:rsidRDefault="00ED6CFF">
      <w:pPr>
        <w:rPr>
          <w:sz w:val="21"/>
          <w:szCs w:val="21"/>
        </w:rPr>
      </w:pPr>
      <w:r w:rsidRPr="00ED6CFF">
        <w:rPr>
          <w:b/>
          <w:sz w:val="21"/>
          <w:szCs w:val="21"/>
        </w:rPr>
        <w:t>University of Texas at Austin</w:t>
      </w:r>
      <w:r w:rsidRPr="00ED6CFF">
        <w:rPr>
          <w:sz w:val="21"/>
          <w:szCs w:val="21"/>
        </w:rPr>
        <w:t>, Austin, Texas</w:t>
      </w:r>
      <w:r w:rsidRPr="00ED6CFF">
        <w:rPr>
          <w:sz w:val="21"/>
          <w:szCs w:val="21"/>
        </w:rPr>
        <w:tab/>
      </w:r>
      <w:r w:rsidRPr="00ED6CFF">
        <w:rPr>
          <w:i/>
          <w:sz w:val="21"/>
          <w:szCs w:val="21"/>
        </w:rPr>
        <w:t>Bachelor of Science in Electrical Engineering, 2005</w:t>
      </w:r>
    </w:p>
    <w:p w14:paraId="50728455" w14:textId="77777777" w:rsidR="005D6BAF" w:rsidRPr="00ED6CFF" w:rsidRDefault="00ED6CFF">
      <w:pPr>
        <w:spacing w:after="120"/>
        <w:rPr>
          <w:sz w:val="21"/>
          <w:szCs w:val="21"/>
        </w:rPr>
      </w:pPr>
      <w:r w:rsidRPr="00ED6CFF">
        <w:rPr>
          <w:sz w:val="21"/>
          <w:szCs w:val="21"/>
        </w:rPr>
        <w:t>Grade Point Average: 3.0</w:t>
      </w:r>
    </w:p>
    <w:p w14:paraId="544B96A1" w14:textId="7D15D07B" w:rsidR="005D6BAF" w:rsidRPr="00ED6CFF" w:rsidRDefault="00ED6CFF" w:rsidP="001E54AD">
      <w:pPr>
        <w:numPr>
          <w:ilvl w:val="0"/>
          <w:numId w:val="26"/>
        </w:numPr>
        <w:spacing w:after="120"/>
        <w:jc w:val="both"/>
        <w:rPr>
          <w:i/>
          <w:iCs/>
          <w:sz w:val="21"/>
          <w:szCs w:val="21"/>
        </w:rPr>
      </w:pPr>
      <w:r w:rsidRPr="00ED6CFF">
        <w:rPr>
          <w:bCs/>
          <w:sz w:val="21"/>
          <w:szCs w:val="21"/>
          <w:u w:val="single"/>
        </w:rPr>
        <w:t>August 2002 – Jul 2005</w:t>
      </w:r>
      <w:r w:rsidRPr="00ED6CFF">
        <w:rPr>
          <w:bCs/>
          <w:sz w:val="21"/>
          <w:szCs w:val="21"/>
        </w:rPr>
        <w:t xml:space="preserve">. </w:t>
      </w:r>
      <w:r w:rsidRPr="00ED6CFF">
        <w:rPr>
          <w:sz w:val="21"/>
          <w:szCs w:val="21"/>
        </w:rPr>
        <w:t>Selected for the Airman Education and Commissioning Program (AECP) with assignment to UT Austin to obtain a degree in EE. AECP is a highly competi</w:t>
      </w:r>
      <w:r w:rsidR="00BE1B53" w:rsidRPr="00ED6CFF">
        <w:rPr>
          <w:sz w:val="21"/>
          <w:szCs w:val="21"/>
        </w:rPr>
        <w:t xml:space="preserve">tive military-sponsored program, 30 </w:t>
      </w:r>
      <w:r w:rsidRPr="00ED6CFF">
        <w:rPr>
          <w:sz w:val="21"/>
          <w:szCs w:val="21"/>
        </w:rPr>
        <w:t xml:space="preserve">candidates </w:t>
      </w:r>
      <w:r w:rsidR="00BE1B53" w:rsidRPr="00ED6CFF">
        <w:rPr>
          <w:sz w:val="21"/>
          <w:szCs w:val="21"/>
        </w:rPr>
        <w:t>selected</w:t>
      </w:r>
      <w:r w:rsidR="00055712">
        <w:rPr>
          <w:sz w:val="21"/>
          <w:szCs w:val="21"/>
        </w:rPr>
        <w:t xml:space="preserve"> </w:t>
      </w:r>
      <w:r w:rsidRPr="00ED6CFF">
        <w:rPr>
          <w:sz w:val="21"/>
          <w:szCs w:val="21"/>
        </w:rPr>
        <w:t>worldwide. Selection criteria include</w:t>
      </w:r>
      <w:r w:rsidR="002027B6">
        <w:rPr>
          <w:sz w:val="21"/>
          <w:szCs w:val="21"/>
        </w:rPr>
        <w:t>d</w:t>
      </w:r>
      <w:r w:rsidRPr="00ED6CFF">
        <w:rPr>
          <w:sz w:val="21"/>
          <w:szCs w:val="21"/>
        </w:rPr>
        <w:t xml:space="preserve"> demonstrated academic achievements, technical </w:t>
      </w:r>
      <w:r w:rsidR="002027B6" w:rsidRPr="00ED6CFF">
        <w:rPr>
          <w:sz w:val="21"/>
          <w:szCs w:val="21"/>
        </w:rPr>
        <w:t>abilities,</w:t>
      </w:r>
      <w:r w:rsidRPr="00ED6CFF">
        <w:rPr>
          <w:sz w:val="21"/>
          <w:szCs w:val="21"/>
        </w:rPr>
        <w:t xml:space="preserve"> and leadership skills.</w:t>
      </w:r>
    </w:p>
    <w:p w14:paraId="72DE91F3" w14:textId="77777777" w:rsidR="005D6BAF" w:rsidRPr="00ED6CFF" w:rsidRDefault="00ED6CFF">
      <w:pPr>
        <w:pStyle w:val="Heading2"/>
        <w:rPr>
          <w:sz w:val="21"/>
          <w:szCs w:val="21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LEGAL EMPLOYMENT</w:t>
      </w:r>
    </w:p>
    <w:p w14:paraId="5F9213F5" w14:textId="50D07066" w:rsidR="00BE1B53" w:rsidRPr="00ED6CFF" w:rsidRDefault="004515D7" w:rsidP="00BE1B53">
      <w:pPr>
        <w:rPr>
          <w:bCs/>
          <w:sz w:val="21"/>
          <w:szCs w:val="21"/>
        </w:rPr>
      </w:pPr>
      <w:r>
        <w:rPr>
          <w:bCs/>
          <w:i/>
          <w:sz w:val="21"/>
          <w:szCs w:val="21"/>
        </w:rPr>
        <w:t>Member</w:t>
      </w:r>
      <w:r w:rsidR="00BE1B53" w:rsidRPr="00ED6CFF">
        <w:rPr>
          <w:bCs/>
          <w:i/>
          <w:sz w:val="21"/>
          <w:szCs w:val="21"/>
        </w:rPr>
        <w:tab/>
      </w:r>
      <w:r w:rsidR="00BE1B53" w:rsidRPr="00ED6CFF">
        <w:rPr>
          <w:sz w:val="21"/>
          <w:szCs w:val="21"/>
        </w:rPr>
        <w:tab/>
      </w:r>
      <w:r w:rsidR="00BE1B53" w:rsidRPr="00ED6CFF">
        <w:rPr>
          <w:sz w:val="21"/>
          <w:szCs w:val="21"/>
        </w:rPr>
        <w:tab/>
      </w:r>
      <w:r w:rsidR="00BE1B53" w:rsidRPr="00ED6CFF">
        <w:rPr>
          <w:sz w:val="21"/>
          <w:szCs w:val="21"/>
        </w:rPr>
        <w:tab/>
      </w:r>
      <w:r w:rsidR="00A87337">
        <w:rPr>
          <w:sz w:val="21"/>
          <w:szCs w:val="21"/>
        </w:rPr>
        <w:tab/>
      </w:r>
      <w:r w:rsidR="00A87337">
        <w:rPr>
          <w:sz w:val="21"/>
          <w:szCs w:val="21"/>
        </w:rPr>
        <w:tab/>
      </w:r>
      <w:r w:rsidR="00A87337">
        <w:rPr>
          <w:sz w:val="21"/>
          <w:szCs w:val="21"/>
        </w:rPr>
        <w:tab/>
      </w:r>
      <w:r w:rsidR="00A87337">
        <w:rPr>
          <w:sz w:val="21"/>
          <w:szCs w:val="21"/>
        </w:rPr>
        <w:tab/>
      </w:r>
      <w:r w:rsidR="00A87337">
        <w:rPr>
          <w:sz w:val="21"/>
          <w:szCs w:val="21"/>
        </w:rPr>
        <w:tab/>
      </w:r>
      <w:r w:rsidR="00A87337">
        <w:rPr>
          <w:sz w:val="21"/>
          <w:szCs w:val="21"/>
        </w:rPr>
        <w:tab/>
        <w:t xml:space="preserve">        </w:t>
      </w:r>
      <w:r>
        <w:rPr>
          <w:bCs/>
          <w:sz w:val="21"/>
          <w:szCs w:val="21"/>
        </w:rPr>
        <w:t xml:space="preserve">May </w:t>
      </w:r>
      <w:r w:rsidR="00BE1B53" w:rsidRPr="00ED6CFF">
        <w:rPr>
          <w:bCs/>
          <w:sz w:val="21"/>
          <w:szCs w:val="21"/>
        </w:rPr>
        <w:t>202</w:t>
      </w:r>
      <w:r>
        <w:rPr>
          <w:bCs/>
          <w:sz w:val="21"/>
          <w:szCs w:val="21"/>
        </w:rPr>
        <w:t>2</w:t>
      </w:r>
      <w:r w:rsidR="00BE1B53" w:rsidRPr="00ED6CFF">
        <w:rPr>
          <w:bCs/>
          <w:sz w:val="21"/>
          <w:szCs w:val="21"/>
        </w:rPr>
        <w:t xml:space="preserve"> – Present</w:t>
      </w:r>
    </w:p>
    <w:p w14:paraId="02148170" w14:textId="1BE8D918" w:rsidR="00BE1B53" w:rsidRPr="00ED6CFF" w:rsidRDefault="004515D7" w:rsidP="00BE1B53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Whitaker </w:t>
      </w:r>
      <w:r w:rsidRPr="004515D7">
        <w:rPr>
          <w:b/>
          <w:sz w:val="21"/>
          <w:szCs w:val="21"/>
        </w:rPr>
        <w:t>Chalk</w:t>
      </w:r>
      <w:r w:rsidR="00BE1B53" w:rsidRPr="004515D7">
        <w:rPr>
          <w:b/>
          <w:sz w:val="21"/>
          <w:szCs w:val="21"/>
        </w:rPr>
        <w:t xml:space="preserve"> </w:t>
      </w:r>
      <w:r w:rsidRPr="004515D7">
        <w:rPr>
          <w:b/>
          <w:sz w:val="21"/>
          <w:szCs w:val="21"/>
        </w:rPr>
        <w:t>Swindle &amp; Schwartz</w:t>
      </w:r>
      <w:r>
        <w:rPr>
          <w:sz w:val="21"/>
          <w:szCs w:val="21"/>
        </w:rPr>
        <w:t xml:space="preserve"> </w:t>
      </w:r>
      <w:r w:rsidR="00BE1B53" w:rsidRPr="00ED6CFF">
        <w:rPr>
          <w:sz w:val="21"/>
          <w:szCs w:val="21"/>
        </w:rPr>
        <w:t>(</w:t>
      </w:r>
      <w:r>
        <w:rPr>
          <w:sz w:val="21"/>
          <w:szCs w:val="21"/>
        </w:rPr>
        <w:t>Fort Worth</w:t>
      </w:r>
      <w:r w:rsidR="00BE1B53" w:rsidRPr="00ED6CFF">
        <w:rPr>
          <w:sz w:val="21"/>
          <w:szCs w:val="21"/>
        </w:rPr>
        <w:t>, Texas)</w:t>
      </w:r>
    </w:p>
    <w:p w14:paraId="67B65A96" w14:textId="4309952A" w:rsidR="00BE1B53" w:rsidRPr="00ED6CFF" w:rsidRDefault="00D419F5" w:rsidP="001E54AD">
      <w:pPr>
        <w:spacing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Prepares and prosecutes patent applications,</w:t>
      </w:r>
      <w:r w:rsidRPr="00ED6CFF">
        <w:rPr>
          <w:color w:val="000000"/>
          <w:sz w:val="21"/>
          <w:szCs w:val="21"/>
        </w:rPr>
        <w:t xml:space="preserve"> U.S. and </w:t>
      </w:r>
      <w:r>
        <w:rPr>
          <w:color w:val="000000"/>
          <w:sz w:val="21"/>
          <w:szCs w:val="21"/>
        </w:rPr>
        <w:t>foreign originated</w:t>
      </w:r>
      <w:r w:rsidRPr="00ED6CFF">
        <w:rPr>
          <w:color w:val="000000"/>
          <w:sz w:val="21"/>
          <w:szCs w:val="21"/>
        </w:rPr>
        <w:t>; perform</w:t>
      </w:r>
      <w:r>
        <w:rPr>
          <w:color w:val="000000"/>
          <w:sz w:val="21"/>
          <w:szCs w:val="21"/>
        </w:rPr>
        <w:t>s</w:t>
      </w:r>
      <w:r w:rsidRPr="00ED6CFF">
        <w:rPr>
          <w:color w:val="000000"/>
          <w:sz w:val="21"/>
          <w:szCs w:val="21"/>
        </w:rPr>
        <w:t xml:space="preserve"> infringement /non-infringement analysis and freedom-to-operate reports; review</w:t>
      </w:r>
      <w:r>
        <w:rPr>
          <w:color w:val="000000"/>
          <w:sz w:val="21"/>
          <w:szCs w:val="21"/>
        </w:rPr>
        <w:t>s and</w:t>
      </w:r>
      <w:r w:rsidRPr="00ED6CFF">
        <w:rPr>
          <w:color w:val="000000"/>
          <w:sz w:val="21"/>
          <w:szCs w:val="21"/>
        </w:rPr>
        <w:t xml:space="preserve"> draft</w:t>
      </w:r>
      <w:r>
        <w:rPr>
          <w:color w:val="000000"/>
          <w:sz w:val="21"/>
          <w:szCs w:val="21"/>
        </w:rPr>
        <w:t xml:space="preserve">s </w:t>
      </w:r>
      <w:r w:rsidRPr="00ED6CFF">
        <w:rPr>
          <w:color w:val="000000"/>
          <w:sz w:val="21"/>
          <w:szCs w:val="21"/>
        </w:rPr>
        <w:t>licensing agreements</w:t>
      </w:r>
      <w:r w:rsidR="00BE1B53" w:rsidRPr="00ED6CFF">
        <w:rPr>
          <w:color w:val="000000"/>
          <w:sz w:val="21"/>
          <w:szCs w:val="21"/>
        </w:rPr>
        <w:t xml:space="preserve">.  </w:t>
      </w:r>
    </w:p>
    <w:p w14:paraId="10B3F896" w14:textId="197420AF" w:rsidR="005D6BAF" w:rsidRPr="00ED6CFF" w:rsidRDefault="00ED6CFF">
      <w:pPr>
        <w:rPr>
          <w:bCs/>
          <w:sz w:val="21"/>
          <w:szCs w:val="21"/>
        </w:rPr>
      </w:pPr>
      <w:r w:rsidRPr="00ED6CFF">
        <w:rPr>
          <w:bCs/>
          <w:i/>
          <w:sz w:val="21"/>
          <w:szCs w:val="21"/>
        </w:rPr>
        <w:t>Attorney</w:t>
      </w:r>
      <w:r w:rsidR="001E54AD">
        <w:rPr>
          <w:bCs/>
          <w:i/>
          <w:sz w:val="21"/>
          <w:szCs w:val="21"/>
        </w:rPr>
        <w:tab/>
      </w:r>
      <w:r w:rsidR="001E54AD">
        <w:rPr>
          <w:bCs/>
          <w:i/>
          <w:sz w:val="21"/>
          <w:szCs w:val="21"/>
        </w:rPr>
        <w:tab/>
      </w:r>
      <w:r w:rsidR="001E54AD">
        <w:rPr>
          <w:bCs/>
          <w:i/>
          <w:sz w:val="21"/>
          <w:szCs w:val="21"/>
        </w:rPr>
        <w:tab/>
      </w:r>
      <w:r w:rsidR="001E54AD">
        <w:rPr>
          <w:bCs/>
          <w:i/>
          <w:sz w:val="21"/>
          <w:szCs w:val="21"/>
        </w:rPr>
        <w:tab/>
      </w:r>
      <w:r w:rsidR="001E54AD">
        <w:rPr>
          <w:bCs/>
          <w:i/>
          <w:sz w:val="21"/>
          <w:szCs w:val="21"/>
        </w:rPr>
        <w:tab/>
        <w:t xml:space="preserve">           </w:t>
      </w:r>
      <w:r w:rsidR="004515D7">
        <w:rPr>
          <w:bCs/>
          <w:i/>
          <w:sz w:val="21"/>
          <w:szCs w:val="21"/>
        </w:rPr>
        <w:t xml:space="preserve"> </w:t>
      </w:r>
      <w:r w:rsidRPr="00ED6CFF">
        <w:rPr>
          <w:bCs/>
          <w:sz w:val="21"/>
          <w:szCs w:val="21"/>
        </w:rPr>
        <w:t>August 2013 – July 2019</w:t>
      </w:r>
      <w:r w:rsidR="001E54AD">
        <w:rPr>
          <w:bCs/>
          <w:sz w:val="21"/>
          <w:szCs w:val="21"/>
        </w:rPr>
        <w:t>;</w:t>
      </w:r>
      <w:r w:rsidR="004515D7">
        <w:rPr>
          <w:bCs/>
          <w:sz w:val="21"/>
          <w:szCs w:val="21"/>
        </w:rPr>
        <w:t xml:space="preserve"> </w:t>
      </w:r>
      <w:r w:rsidR="001E54AD" w:rsidRPr="00ED6CFF">
        <w:rPr>
          <w:bCs/>
          <w:sz w:val="21"/>
          <w:szCs w:val="21"/>
        </w:rPr>
        <w:t xml:space="preserve">August 2020 – </w:t>
      </w:r>
      <w:r w:rsidR="004515D7">
        <w:rPr>
          <w:bCs/>
          <w:sz w:val="21"/>
          <w:szCs w:val="21"/>
        </w:rPr>
        <w:t>May 2022</w:t>
      </w:r>
    </w:p>
    <w:p w14:paraId="63543E19" w14:textId="77777777" w:rsidR="005D6BAF" w:rsidRPr="00ED6CFF" w:rsidRDefault="00ED6CFF">
      <w:pPr>
        <w:rPr>
          <w:sz w:val="21"/>
          <w:szCs w:val="21"/>
        </w:rPr>
      </w:pPr>
      <w:r w:rsidRPr="00ED6CFF">
        <w:rPr>
          <w:b/>
          <w:sz w:val="21"/>
          <w:szCs w:val="21"/>
        </w:rPr>
        <w:t>Norton Rose Fulbright</w:t>
      </w:r>
      <w:r w:rsidRPr="00ED6CFF">
        <w:rPr>
          <w:sz w:val="21"/>
          <w:szCs w:val="21"/>
        </w:rPr>
        <w:t xml:space="preserve"> (Dallas, Texas)</w:t>
      </w:r>
    </w:p>
    <w:p w14:paraId="1068BB9D" w14:textId="35E0B8DA" w:rsidR="001E54AD" w:rsidRDefault="00D419F5" w:rsidP="001E54AD">
      <w:pPr>
        <w:spacing w:after="120"/>
        <w:jc w:val="both"/>
        <w:rPr>
          <w:color w:val="000000"/>
          <w:sz w:val="21"/>
          <w:szCs w:val="21"/>
        </w:rPr>
      </w:pPr>
      <w:r w:rsidRPr="00ED6CFF">
        <w:rPr>
          <w:color w:val="000000"/>
          <w:sz w:val="21"/>
          <w:szCs w:val="21"/>
        </w:rPr>
        <w:t>Prepare</w:t>
      </w:r>
      <w:r>
        <w:rPr>
          <w:color w:val="000000"/>
          <w:sz w:val="21"/>
          <w:szCs w:val="21"/>
        </w:rPr>
        <w:t>d</w:t>
      </w:r>
      <w:r w:rsidRPr="00ED6CFF">
        <w:rPr>
          <w:color w:val="000000"/>
          <w:sz w:val="21"/>
          <w:szCs w:val="21"/>
        </w:rPr>
        <w:t xml:space="preserve"> and prosecute</w:t>
      </w:r>
      <w:r>
        <w:rPr>
          <w:color w:val="000000"/>
          <w:sz w:val="21"/>
          <w:szCs w:val="21"/>
        </w:rPr>
        <w:t>d</w:t>
      </w:r>
      <w:r w:rsidRPr="00ED6CFF">
        <w:rPr>
          <w:color w:val="000000"/>
          <w:sz w:val="21"/>
          <w:szCs w:val="21"/>
        </w:rPr>
        <w:t xml:space="preserve"> patent applications in a diverse range of arts including mechanical, electrical, computer, medical devices, wireless communications, </w:t>
      </w:r>
      <w:r>
        <w:rPr>
          <w:color w:val="000000"/>
          <w:sz w:val="21"/>
          <w:szCs w:val="21"/>
        </w:rPr>
        <w:t xml:space="preserve">artificial intelligence, </w:t>
      </w:r>
      <w:r w:rsidRPr="00ED6CFF">
        <w:rPr>
          <w:color w:val="000000"/>
          <w:sz w:val="21"/>
          <w:szCs w:val="21"/>
        </w:rPr>
        <w:t xml:space="preserve">and </w:t>
      </w:r>
      <w:r>
        <w:rPr>
          <w:color w:val="000000"/>
          <w:sz w:val="21"/>
          <w:szCs w:val="21"/>
        </w:rPr>
        <w:t xml:space="preserve">blockchain </w:t>
      </w:r>
      <w:r w:rsidRPr="00ED6CFF">
        <w:rPr>
          <w:color w:val="000000"/>
          <w:sz w:val="21"/>
          <w:szCs w:val="21"/>
        </w:rPr>
        <w:t>technologies; provide</w:t>
      </w:r>
      <w:r>
        <w:rPr>
          <w:color w:val="000000"/>
          <w:sz w:val="21"/>
          <w:szCs w:val="21"/>
        </w:rPr>
        <w:t>d</w:t>
      </w:r>
      <w:r w:rsidRPr="00ED6CFF">
        <w:rPr>
          <w:color w:val="000000"/>
          <w:sz w:val="21"/>
          <w:szCs w:val="21"/>
        </w:rPr>
        <w:t xml:space="preserve"> U.S. filing and prosecution for foreign originated patent applications; perform</w:t>
      </w:r>
      <w:r>
        <w:rPr>
          <w:color w:val="000000"/>
          <w:sz w:val="21"/>
          <w:szCs w:val="21"/>
        </w:rPr>
        <w:t>ed</w:t>
      </w:r>
      <w:r w:rsidRPr="00ED6CFF">
        <w:rPr>
          <w:color w:val="000000"/>
          <w:sz w:val="21"/>
          <w:szCs w:val="21"/>
        </w:rPr>
        <w:t xml:space="preserve"> infringement/non-infringement analysis and freedom-to-operate reports; conduct</w:t>
      </w:r>
      <w:r>
        <w:rPr>
          <w:color w:val="000000"/>
          <w:sz w:val="21"/>
          <w:szCs w:val="21"/>
        </w:rPr>
        <w:t>ed</w:t>
      </w:r>
      <w:r w:rsidRPr="00ED6CFF">
        <w:rPr>
          <w:color w:val="000000"/>
          <w:sz w:val="21"/>
          <w:szCs w:val="21"/>
        </w:rPr>
        <w:t xml:space="preserve"> prior art searches; develop</w:t>
      </w:r>
      <w:r>
        <w:rPr>
          <w:color w:val="000000"/>
          <w:sz w:val="21"/>
          <w:szCs w:val="21"/>
        </w:rPr>
        <w:t>ed</w:t>
      </w:r>
      <w:r w:rsidRPr="00ED6CFF">
        <w:rPr>
          <w:color w:val="000000"/>
          <w:sz w:val="21"/>
          <w:szCs w:val="21"/>
        </w:rPr>
        <w:t xml:space="preserve"> invalidity contentions; review</w:t>
      </w:r>
      <w:r>
        <w:rPr>
          <w:color w:val="000000"/>
          <w:sz w:val="21"/>
          <w:szCs w:val="21"/>
        </w:rPr>
        <w:t>ed</w:t>
      </w:r>
      <w:r w:rsidRPr="00ED6CFF">
        <w:rPr>
          <w:color w:val="000000"/>
          <w:sz w:val="21"/>
          <w:szCs w:val="21"/>
        </w:rPr>
        <w:t xml:space="preserve"> and revise</w:t>
      </w:r>
      <w:r>
        <w:rPr>
          <w:color w:val="000000"/>
          <w:sz w:val="21"/>
          <w:szCs w:val="21"/>
        </w:rPr>
        <w:t>d</w:t>
      </w:r>
      <w:r w:rsidRPr="00ED6CFF">
        <w:rPr>
          <w:color w:val="000000"/>
          <w:sz w:val="21"/>
          <w:szCs w:val="21"/>
        </w:rPr>
        <w:t xml:space="preserve"> licensing agreements</w:t>
      </w:r>
      <w:r w:rsidR="00ED6CFF" w:rsidRPr="00ED6CFF">
        <w:rPr>
          <w:color w:val="000000"/>
          <w:sz w:val="21"/>
          <w:szCs w:val="21"/>
        </w:rPr>
        <w:t xml:space="preserve">.  </w:t>
      </w:r>
    </w:p>
    <w:p w14:paraId="55DE7E8E" w14:textId="2618070A" w:rsidR="001E54AD" w:rsidRPr="00ED6CFF" w:rsidRDefault="001E54AD" w:rsidP="001E54AD">
      <w:pPr>
        <w:rPr>
          <w:bCs/>
          <w:sz w:val="21"/>
          <w:szCs w:val="21"/>
        </w:rPr>
      </w:pPr>
      <w:r w:rsidRPr="00ED6CFF">
        <w:rPr>
          <w:bCs/>
          <w:i/>
          <w:sz w:val="21"/>
          <w:szCs w:val="21"/>
        </w:rPr>
        <w:t>Managing Associate</w:t>
      </w:r>
      <w:r w:rsidRPr="00ED6CFF">
        <w:rPr>
          <w:bCs/>
          <w:i/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  <w:r w:rsidRPr="00ED6CFF">
        <w:rPr>
          <w:bCs/>
          <w:sz w:val="21"/>
          <w:szCs w:val="21"/>
        </w:rPr>
        <w:t>July 2019 – July 2020</w:t>
      </w:r>
    </w:p>
    <w:p w14:paraId="53A9E819" w14:textId="77777777" w:rsidR="001E54AD" w:rsidRPr="00ED6CFF" w:rsidRDefault="001E54AD" w:rsidP="001E54AD">
      <w:pPr>
        <w:rPr>
          <w:sz w:val="21"/>
          <w:szCs w:val="21"/>
        </w:rPr>
      </w:pPr>
      <w:r w:rsidRPr="00ED6CFF">
        <w:rPr>
          <w:b/>
          <w:sz w:val="21"/>
          <w:szCs w:val="21"/>
        </w:rPr>
        <w:t>Dentons</w:t>
      </w:r>
      <w:r w:rsidRPr="00ED6CFF">
        <w:rPr>
          <w:sz w:val="21"/>
          <w:szCs w:val="21"/>
        </w:rPr>
        <w:t xml:space="preserve"> (Dallas, Texas)</w:t>
      </w:r>
    </w:p>
    <w:p w14:paraId="1500AC4B" w14:textId="2DD1BA8E" w:rsidR="001E54AD" w:rsidRPr="001E54AD" w:rsidRDefault="001E54AD" w:rsidP="001E54AD">
      <w:pPr>
        <w:spacing w:after="120"/>
        <w:jc w:val="both"/>
        <w:rPr>
          <w:bCs/>
          <w:i/>
          <w:sz w:val="21"/>
          <w:szCs w:val="21"/>
        </w:rPr>
      </w:pPr>
      <w:r w:rsidRPr="00ED6CFF">
        <w:rPr>
          <w:color w:val="000000"/>
          <w:sz w:val="21"/>
          <w:szCs w:val="21"/>
        </w:rPr>
        <w:t xml:space="preserve">Handled all aspects of patent prosecution in software, electrical, computer, and hardware technologies; provides counsel for clients to ensure patents provide strategic protection by, e.g., aligning with current and predicted industry developments, trends, and applicable technical standard.  </w:t>
      </w:r>
    </w:p>
    <w:p w14:paraId="5BCE2612" w14:textId="70F82F0B" w:rsidR="005D6BAF" w:rsidRPr="00ED6CFF" w:rsidRDefault="00ED6CFF">
      <w:pPr>
        <w:rPr>
          <w:bCs/>
          <w:sz w:val="21"/>
          <w:szCs w:val="21"/>
        </w:rPr>
      </w:pPr>
      <w:r w:rsidRPr="00ED6CFF">
        <w:rPr>
          <w:bCs/>
          <w:i/>
          <w:sz w:val="21"/>
          <w:szCs w:val="21"/>
        </w:rPr>
        <w:t>Internship</w:t>
      </w:r>
      <w:r w:rsidRPr="00ED6CFF">
        <w:rPr>
          <w:bCs/>
          <w:i/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Pr="00ED6CFF">
        <w:rPr>
          <w:sz w:val="21"/>
          <w:szCs w:val="21"/>
        </w:rPr>
        <w:tab/>
      </w:r>
      <w:r w:rsidR="001E54AD">
        <w:rPr>
          <w:sz w:val="21"/>
          <w:szCs w:val="21"/>
        </w:rPr>
        <w:t xml:space="preserve">    </w:t>
      </w:r>
      <w:r w:rsidRPr="00ED6CFF">
        <w:rPr>
          <w:bCs/>
          <w:sz w:val="21"/>
          <w:szCs w:val="21"/>
        </w:rPr>
        <w:t>May 2012 – June 2012</w:t>
      </w:r>
    </w:p>
    <w:p w14:paraId="0E977428" w14:textId="77777777" w:rsidR="005D6BAF" w:rsidRPr="00ED6CFF" w:rsidRDefault="00ED6CFF">
      <w:pPr>
        <w:rPr>
          <w:sz w:val="21"/>
          <w:szCs w:val="21"/>
        </w:rPr>
      </w:pPr>
      <w:r w:rsidRPr="00ED6CFF">
        <w:rPr>
          <w:b/>
          <w:sz w:val="21"/>
          <w:szCs w:val="21"/>
        </w:rPr>
        <w:t>Fulbright and Jaworski</w:t>
      </w:r>
      <w:r w:rsidRPr="00ED6CFF">
        <w:rPr>
          <w:sz w:val="21"/>
          <w:szCs w:val="21"/>
        </w:rPr>
        <w:t xml:space="preserve"> (Dallas, Texas)</w:t>
      </w:r>
    </w:p>
    <w:p w14:paraId="634FE06C" w14:textId="77777777" w:rsidR="005D6BAF" w:rsidRDefault="00ED6CFF">
      <w:pPr>
        <w:spacing w:after="240"/>
        <w:rPr>
          <w:color w:val="000000"/>
          <w:sz w:val="22"/>
          <w:szCs w:val="22"/>
        </w:rPr>
      </w:pPr>
      <w:r w:rsidRPr="00ED6CFF">
        <w:rPr>
          <w:color w:val="000000"/>
          <w:sz w:val="21"/>
          <w:szCs w:val="21"/>
        </w:rPr>
        <w:t>Assisted in</w:t>
      </w:r>
      <w:r>
        <w:rPr>
          <w:color w:val="000000"/>
          <w:sz w:val="22"/>
          <w:szCs w:val="22"/>
        </w:rPr>
        <w:t xml:space="preserve"> prosecution of patent applications; assisted in preparation of patent litigation documents.</w:t>
      </w:r>
    </w:p>
    <w:p w14:paraId="0A616A6D" w14:textId="77777777" w:rsidR="005D6BAF" w:rsidRPr="00ED6CFF" w:rsidRDefault="00ED6CFF">
      <w:pPr>
        <w:pStyle w:val="Heading2"/>
        <w:rPr>
          <w:sz w:val="21"/>
          <w:szCs w:val="21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LEGAL EXPERIENCE</w:t>
      </w:r>
    </w:p>
    <w:p w14:paraId="563C8D3F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Preparation of patent applications; prosecution of patent applications before the USPTO.</w:t>
      </w:r>
    </w:p>
    <w:p w14:paraId="6C0385D2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Support in patent litigation; preparation of claim charts and invalidity charts.</w:t>
      </w:r>
    </w:p>
    <w:p w14:paraId="5E31C49F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Preparation and analysis of freedom to operate and infringement/non-infringement opinions.</w:t>
      </w:r>
    </w:p>
    <w:p w14:paraId="3650E101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Preparation, review, and revision of intellectual property licensing agreements.</w:t>
      </w:r>
    </w:p>
    <w:p w14:paraId="57D4A3A7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Provision of services as U.S. patent agent for foreign clients.</w:t>
      </w:r>
    </w:p>
    <w:p w14:paraId="139711AA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Preparation of claim charts mapping claims to technical standards.</w:t>
      </w:r>
    </w:p>
    <w:p w14:paraId="258D71FD" w14:textId="77777777" w:rsidR="005D6BAF" w:rsidRPr="00ED6CFF" w:rsidRDefault="00ED6CFF">
      <w:pPr>
        <w:pStyle w:val="Heading2"/>
        <w:spacing w:before="240"/>
        <w:rPr>
          <w:sz w:val="21"/>
          <w:szCs w:val="21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TECHNICAL EXPERIENCE</w:t>
      </w:r>
    </w:p>
    <w:p w14:paraId="3E5AB879" w14:textId="77777777" w:rsidR="005D6BAF" w:rsidRPr="00ED6CFF" w:rsidRDefault="00ED6CFF">
      <w:pPr>
        <w:pStyle w:val="ListParagraph"/>
        <w:numPr>
          <w:ilvl w:val="0"/>
          <w:numId w:val="32"/>
        </w:numPr>
        <w:rPr>
          <w:bCs/>
          <w:sz w:val="21"/>
          <w:szCs w:val="21"/>
        </w:rPr>
      </w:pPr>
      <w:r w:rsidRPr="00ED6CFF">
        <w:rPr>
          <w:bCs/>
          <w:i/>
          <w:sz w:val="21"/>
          <w:szCs w:val="21"/>
        </w:rPr>
        <w:t xml:space="preserve">Cyber Security Development, </w:t>
      </w:r>
      <w:r w:rsidRPr="00ED6CFF">
        <w:rPr>
          <w:b/>
          <w:sz w:val="21"/>
          <w:szCs w:val="21"/>
        </w:rPr>
        <w:t>ManTech International Corporation</w:t>
      </w:r>
      <w:r w:rsidRPr="00ED6CFF">
        <w:rPr>
          <w:sz w:val="21"/>
          <w:szCs w:val="21"/>
        </w:rPr>
        <w:t xml:space="preserve">, </w:t>
      </w:r>
      <w:r w:rsidRPr="00ED6CFF">
        <w:rPr>
          <w:bCs/>
          <w:sz w:val="21"/>
          <w:szCs w:val="21"/>
        </w:rPr>
        <w:t>November 2008 – April 2013</w:t>
      </w:r>
    </w:p>
    <w:p w14:paraId="3963D153" w14:textId="77777777" w:rsidR="005D6BAF" w:rsidRPr="00ED6CFF" w:rsidRDefault="00ED6CFF">
      <w:pPr>
        <w:pStyle w:val="ListParagraph"/>
        <w:numPr>
          <w:ilvl w:val="0"/>
          <w:numId w:val="32"/>
        </w:numPr>
        <w:rPr>
          <w:bCs/>
          <w:sz w:val="21"/>
          <w:szCs w:val="21"/>
        </w:rPr>
      </w:pPr>
      <w:r w:rsidRPr="00ED6CFF">
        <w:rPr>
          <w:bCs/>
          <w:i/>
          <w:sz w:val="21"/>
          <w:szCs w:val="21"/>
        </w:rPr>
        <w:t xml:space="preserve">Malware Analysis and Reverse Engineering, </w:t>
      </w:r>
      <w:r w:rsidRPr="00ED6CFF">
        <w:rPr>
          <w:b/>
          <w:sz w:val="21"/>
          <w:szCs w:val="21"/>
        </w:rPr>
        <w:t>Macaulay Brown, Inc.</w:t>
      </w:r>
      <w:r w:rsidRPr="00ED6CFF">
        <w:rPr>
          <w:sz w:val="21"/>
          <w:szCs w:val="21"/>
        </w:rPr>
        <w:t xml:space="preserve">, </w:t>
      </w:r>
      <w:r w:rsidRPr="00ED6CFF">
        <w:rPr>
          <w:bCs/>
          <w:sz w:val="21"/>
          <w:szCs w:val="21"/>
        </w:rPr>
        <w:t>January 2008–April 2013</w:t>
      </w:r>
    </w:p>
    <w:p w14:paraId="45622F0D" w14:textId="77777777" w:rsidR="005D6BAF" w:rsidRPr="00ED6CFF" w:rsidRDefault="00ED6CFF">
      <w:pPr>
        <w:pStyle w:val="ListParagraph"/>
        <w:numPr>
          <w:ilvl w:val="0"/>
          <w:numId w:val="32"/>
        </w:numPr>
        <w:rPr>
          <w:bCs/>
          <w:sz w:val="21"/>
          <w:szCs w:val="21"/>
        </w:rPr>
      </w:pPr>
      <w:r w:rsidRPr="00ED6CFF">
        <w:rPr>
          <w:i/>
          <w:color w:val="000000"/>
          <w:sz w:val="21"/>
          <w:szCs w:val="21"/>
        </w:rPr>
        <w:t>Captain</w:t>
      </w:r>
      <w:r w:rsidRPr="00ED6CFF">
        <w:rPr>
          <w:color w:val="000000"/>
          <w:sz w:val="21"/>
          <w:szCs w:val="21"/>
        </w:rPr>
        <w:t xml:space="preserve">, Computer Emergency Response, </w:t>
      </w:r>
      <w:r w:rsidRPr="00ED6CFF">
        <w:rPr>
          <w:b/>
          <w:iCs/>
          <w:sz w:val="21"/>
          <w:szCs w:val="21"/>
        </w:rPr>
        <w:t>United States Air Force</w:t>
      </w:r>
      <w:r w:rsidRPr="00ED6CFF">
        <w:rPr>
          <w:iCs/>
          <w:sz w:val="21"/>
          <w:szCs w:val="21"/>
        </w:rPr>
        <w:t>,</w:t>
      </w:r>
      <w:r w:rsidRPr="00ED6CFF">
        <w:rPr>
          <w:b/>
          <w:iCs/>
          <w:sz w:val="21"/>
          <w:szCs w:val="21"/>
        </w:rPr>
        <w:t xml:space="preserve"> </w:t>
      </w:r>
      <w:r w:rsidRPr="00ED6CFF">
        <w:rPr>
          <w:bCs/>
          <w:sz w:val="21"/>
          <w:szCs w:val="21"/>
        </w:rPr>
        <w:t>April 1995 – December 2007</w:t>
      </w:r>
    </w:p>
    <w:p w14:paraId="62B3CDA7" w14:textId="77777777" w:rsidR="005D6BAF" w:rsidRPr="00ED6CFF" w:rsidRDefault="005D6BAF">
      <w:pPr>
        <w:rPr>
          <w:sz w:val="21"/>
          <w:szCs w:val="21"/>
        </w:rPr>
      </w:pPr>
    </w:p>
    <w:p w14:paraId="26E567E5" w14:textId="77777777" w:rsidR="005D6BAF" w:rsidRPr="00ED6CFF" w:rsidRDefault="00ED6CFF">
      <w:pPr>
        <w:pStyle w:val="Heading2"/>
        <w:rPr>
          <w:rFonts w:ascii="Times New Roman" w:hAnsi="Times New Roman"/>
          <w:b/>
          <w:bCs/>
          <w:sz w:val="21"/>
          <w:szCs w:val="21"/>
          <w:u w:val="single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CIVICS AND LANGUAGE</w:t>
      </w:r>
    </w:p>
    <w:p w14:paraId="49CF8911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Fluent in Spanish, reading and writing – native speaker level</w:t>
      </w:r>
    </w:p>
    <w:p w14:paraId="39CA38F4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b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Guest Lecturer, St Mary’s School of Law</w:t>
      </w:r>
    </w:p>
    <w:p w14:paraId="1DF7B213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left="360" w:right="72"/>
        <w:rPr>
          <w:rFonts w:ascii="Times New Roman" w:hAnsi="Times New Roman"/>
          <w:b/>
          <w:sz w:val="21"/>
          <w:szCs w:val="21"/>
        </w:rPr>
      </w:pPr>
      <w:r w:rsidRPr="00ED6CFF">
        <w:rPr>
          <w:rFonts w:ascii="Times New Roman" w:hAnsi="Times New Roman"/>
          <w:sz w:val="21"/>
          <w:szCs w:val="21"/>
        </w:rPr>
        <w:t>Volunteer, Texas Accountants and Lawyers for the Arts, Pro-Bono Patent Lawyer</w:t>
      </w:r>
    </w:p>
    <w:p w14:paraId="427736AE" w14:textId="77777777" w:rsidR="005D6BAF" w:rsidRPr="00ED6CFF" w:rsidRDefault="005D6BAF">
      <w:pPr>
        <w:rPr>
          <w:b/>
          <w:sz w:val="21"/>
          <w:szCs w:val="21"/>
        </w:rPr>
      </w:pPr>
    </w:p>
    <w:p w14:paraId="72797864" w14:textId="77777777" w:rsidR="005D6BAF" w:rsidRPr="00ED6CFF" w:rsidRDefault="00ED6CFF">
      <w:pPr>
        <w:pStyle w:val="Heading2"/>
        <w:rPr>
          <w:rFonts w:ascii="Times New Roman" w:hAnsi="Times New Roman"/>
          <w:b/>
          <w:bCs/>
          <w:sz w:val="21"/>
          <w:szCs w:val="21"/>
          <w:u w:val="single"/>
        </w:rPr>
      </w:pPr>
      <w:r w:rsidRPr="00ED6CFF">
        <w:rPr>
          <w:rFonts w:ascii="Times New Roman" w:hAnsi="Times New Roman"/>
          <w:b/>
          <w:bCs/>
          <w:sz w:val="21"/>
          <w:szCs w:val="21"/>
          <w:u w:val="single"/>
        </w:rPr>
        <w:t>PROFESSIONAL LICENSES</w:t>
      </w:r>
    </w:p>
    <w:p w14:paraId="390C8399" w14:textId="77777777" w:rsidR="005D6BAF" w:rsidRPr="00ED6CF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right="72"/>
        <w:rPr>
          <w:rFonts w:ascii="Times New Roman" w:hAnsi="Times New Roman"/>
          <w:bCs/>
          <w:sz w:val="21"/>
          <w:szCs w:val="21"/>
        </w:rPr>
      </w:pPr>
      <w:r w:rsidRPr="00ED6CFF">
        <w:rPr>
          <w:rFonts w:ascii="Times New Roman" w:hAnsi="Times New Roman"/>
          <w:bCs/>
          <w:sz w:val="21"/>
          <w:szCs w:val="21"/>
        </w:rPr>
        <w:t>Admitted to practice law in Texas</w:t>
      </w:r>
    </w:p>
    <w:p w14:paraId="30215462" w14:textId="77777777" w:rsidR="005D6BAF" w:rsidRDefault="00ED6CFF">
      <w:pPr>
        <w:pStyle w:val="BodyText"/>
        <w:numPr>
          <w:ilvl w:val="0"/>
          <w:numId w:val="23"/>
        </w:numPr>
        <w:tabs>
          <w:tab w:val="clear" w:pos="3024"/>
          <w:tab w:val="clear" w:pos="6480"/>
          <w:tab w:val="left" w:pos="360"/>
        </w:tabs>
        <w:spacing w:line="240" w:lineRule="auto"/>
        <w:ind w:right="72"/>
        <w:rPr>
          <w:sz w:val="22"/>
          <w:szCs w:val="22"/>
        </w:rPr>
      </w:pPr>
      <w:r w:rsidRPr="00ED6CFF">
        <w:rPr>
          <w:rFonts w:ascii="Times New Roman" w:hAnsi="Times New Roman"/>
          <w:bCs/>
          <w:sz w:val="21"/>
          <w:szCs w:val="21"/>
        </w:rPr>
        <w:t>Registered to practice before the United States Patent and Trademark Offic</w:t>
      </w:r>
      <w:r>
        <w:rPr>
          <w:rFonts w:ascii="Times New Roman" w:hAnsi="Times New Roman"/>
          <w:bCs/>
          <w:sz w:val="22"/>
          <w:szCs w:val="22"/>
        </w:rPr>
        <w:t xml:space="preserve">e </w:t>
      </w:r>
    </w:p>
    <w:sectPr w:rsidR="005D6BAF">
      <w:pgSz w:w="12240" w:h="15840"/>
      <w:pgMar w:top="547" w:right="1440" w:bottom="5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A601" w14:textId="77777777" w:rsidR="00357BE7" w:rsidRDefault="00357BE7">
      <w:r>
        <w:separator/>
      </w:r>
    </w:p>
  </w:endnote>
  <w:endnote w:type="continuationSeparator" w:id="0">
    <w:p w14:paraId="2187AB1F" w14:textId="77777777" w:rsidR="00357BE7" w:rsidRDefault="0035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6FC0" w14:textId="77777777" w:rsidR="00357BE7" w:rsidRDefault="00357BE7">
      <w:r>
        <w:separator/>
      </w:r>
    </w:p>
  </w:footnote>
  <w:footnote w:type="continuationSeparator" w:id="0">
    <w:p w14:paraId="7EC18C1E" w14:textId="77777777" w:rsidR="00357BE7" w:rsidRDefault="0035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8C8"/>
    <w:multiLevelType w:val="hybridMultilevel"/>
    <w:tmpl w:val="CFBE37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733B"/>
    <w:multiLevelType w:val="hybridMultilevel"/>
    <w:tmpl w:val="BCEAEB74"/>
    <w:lvl w:ilvl="0" w:tplc="981607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1343"/>
    <w:multiLevelType w:val="hybridMultilevel"/>
    <w:tmpl w:val="465C9D04"/>
    <w:lvl w:ilvl="0" w:tplc="7E6C8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08D"/>
    <w:multiLevelType w:val="hybridMultilevel"/>
    <w:tmpl w:val="24ECC98C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399"/>
    <w:multiLevelType w:val="hybridMultilevel"/>
    <w:tmpl w:val="C9BE3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7D84"/>
    <w:multiLevelType w:val="hybridMultilevel"/>
    <w:tmpl w:val="05725B86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45A3"/>
    <w:multiLevelType w:val="hybridMultilevel"/>
    <w:tmpl w:val="66A2C4B4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369F"/>
    <w:multiLevelType w:val="hybridMultilevel"/>
    <w:tmpl w:val="14C2BA84"/>
    <w:lvl w:ilvl="0" w:tplc="9B92B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74BC"/>
    <w:multiLevelType w:val="hybridMultilevel"/>
    <w:tmpl w:val="4A503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1C7F"/>
    <w:multiLevelType w:val="hybridMultilevel"/>
    <w:tmpl w:val="B2806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448C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2841FE"/>
    <w:multiLevelType w:val="hybridMultilevel"/>
    <w:tmpl w:val="C4AEF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49C3"/>
    <w:multiLevelType w:val="hybridMultilevel"/>
    <w:tmpl w:val="4C48BEFE"/>
    <w:lvl w:ilvl="0" w:tplc="7E6C8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3A3A"/>
    <w:multiLevelType w:val="hybridMultilevel"/>
    <w:tmpl w:val="1C52EED6"/>
    <w:lvl w:ilvl="0" w:tplc="7E6C8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12B"/>
    <w:multiLevelType w:val="hybridMultilevel"/>
    <w:tmpl w:val="CF0486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0D67"/>
    <w:multiLevelType w:val="hybridMultilevel"/>
    <w:tmpl w:val="B0BCCA26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553C1"/>
    <w:multiLevelType w:val="hybridMultilevel"/>
    <w:tmpl w:val="CB481CA4"/>
    <w:lvl w:ilvl="0" w:tplc="7E6C850E">
      <w:start w:val="1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E74E0"/>
    <w:multiLevelType w:val="hybridMultilevel"/>
    <w:tmpl w:val="09789776"/>
    <w:lvl w:ilvl="0" w:tplc="567407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26206"/>
    <w:multiLevelType w:val="hybridMultilevel"/>
    <w:tmpl w:val="A936F0A4"/>
    <w:lvl w:ilvl="0" w:tplc="5674078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B286E"/>
    <w:multiLevelType w:val="hybridMultilevel"/>
    <w:tmpl w:val="849A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94D3E"/>
    <w:multiLevelType w:val="hybridMultilevel"/>
    <w:tmpl w:val="F35493E4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B32CC"/>
    <w:multiLevelType w:val="hybridMultilevel"/>
    <w:tmpl w:val="0A5E06D8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35C9D"/>
    <w:multiLevelType w:val="hybridMultilevel"/>
    <w:tmpl w:val="82CE9BE2"/>
    <w:lvl w:ilvl="0" w:tplc="567407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D5CB9"/>
    <w:multiLevelType w:val="hybridMultilevel"/>
    <w:tmpl w:val="F468E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F2CC4"/>
    <w:multiLevelType w:val="hybridMultilevel"/>
    <w:tmpl w:val="2242A3D2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3355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FE7C2C"/>
    <w:multiLevelType w:val="hybridMultilevel"/>
    <w:tmpl w:val="D7B85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C6C31"/>
    <w:multiLevelType w:val="hybridMultilevel"/>
    <w:tmpl w:val="E37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C2464"/>
    <w:multiLevelType w:val="multilevel"/>
    <w:tmpl w:val="F46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E7C8F"/>
    <w:multiLevelType w:val="hybridMultilevel"/>
    <w:tmpl w:val="91026E3C"/>
    <w:lvl w:ilvl="0" w:tplc="56740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E7CB6"/>
    <w:multiLevelType w:val="hybridMultilevel"/>
    <w:tmpl w:val="E8964040"/>
    <w:lvl w:ilvl="0" w:tplc="567407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4663"/>
    <w:multiLevelType w:val="multilevel"/>
    <w:tmpl w:val="D7B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8"/>
  </w:num>
  <w:num w:numId="5">
    <w:abstractNumId w:val="5"/>
  </w:num>
  <w:num w:numId="6">
    <w:abstractNumId w:val="15"/>
  </w:num>
  <w:num w:numId="7">
    <w:abstractNumId w:val="9"/>
  </w:num>
  <w:num w:numId="8">
    <w:abstractNumId w:val="24"/>
  </w:num>
  <w:num w:numId="9">
    <w:abstractNumId w:val="3"/>
  </w:num>
  <w:num w:numId="10">
    <w:abstractNumId w:val="21"/>
  </w:num>
  <w:num w:numId="11">
    <w:abstractNumId w:val="29"/>
  </w:num>
  <w:num w:numId="12">
    <w:abstractNumId w:val="6"/>
  </w:num>
  <w:num w:numId="13">
    <w:abstractNumId w:val="20"/>
  </w:num>
  <w:num w:numId="14">
    <w:abstractNumId w:val="0"/>
  </w:num>
  <w:num w:numId="15">
    <w:abstractNumId w:val="14"/>
  </w:num>
  <w:num w:numId="16">
    <w:abstractNumId w:val="4"/>
  </w:num>
  <w:num w:numId="17">
    <w:abstractNumId w:val="11"/>
  </w:num>
  <w:num w:numId="18">
    <w:abstractNumId w:val="26"/>
  </w:num>
  <w:num w:numId="19">
    <w:abstractNumId w:val="31"/>
  </w:num>
  <w:num w:numId="20">
    <w:abstractNumId w:val="1"/>
  </w:num>
  <w:num w:numId="21">
    <w:abstractNumId w:val="23"/>
  </w:num>
  <w:num w:numId="22">
    <w:abstractNumId w:val="28"/>
  </w:num>
  <w:num w:numId="23">
    <w:abstractNumId w:val="16"/>
  </w:num>
  <w:num w:numId="24">
    <w:abstractNumId w:val="30"/>
  </w:num>
  <w:num w:numId="25">
    <w:abstractNumId w:val="12"/>
  </w:num>
  <w:num w:numId="26">
    <w:abstractNumId w:val="2"/>
  </w:num>
  <w:num w:numId="27">
    <w:abstractNumId w:val="13"/>
  </w:num>
  <w:num w:numId="28">
    <w:abstractNumId w:val="7"/>
  </w:num>
  <w:num w:numId="29">
    <w:abstractNumId w:val="27"/>
  </w:num>
  <w:num w:numId="30">
    <w:abstractNumId w:val="22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DQxAGJLAyNzSyUdpeDU4uLM/DyQAsNaAHR5OzIsAAAA"/>
  </w:docVars>
  <w:rsids>
    <w:rsidRoot w:val="005D6BAF"/>
    <w:rsid w:val="00055712"/>
    <w:rsid w:val="001E54AD"/>
    <w:rsid w:val="002027B6"/>
    <w:rsid w:val="00357BE7"/>
    <w:rsid w:val="004515D7"/>
    <w:rsid w:val="004E4CAE"/>
    <w:rsid w:val="005D6BAF"/>
    <w:rsid w:val="008369BA"/>
    <w:rsid w:val="00991449"/>
    <w:rsid w:val="00A87337"/>
    <w:rsid w:val="00A9750E"/>
    <w:rsid w:val="00AF0FBF"/>
    <w:rsid w:val="00BE1B53"/>
    <w:rsid w:val="00D13FA1"/>
    <w:rsid w:val="00D419F5"/>
    <w:rsid w:val="00D9664C"/>
    <w:rsid w:val="00ED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3703A"/>
  <w15:docId w15:val="{85B63086-30A8-4CD0-8839-021B7CF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pos="3024"/>
        <w:tab w:val="left" w:pos="6480"/>
      </w:tabs>
      <w:spacing w:line="360" w:lineRule="auto"/>
      <w:ind w:right="-990"/>
    </w:pPr>
    <w:rPr>
      <w:rFonts w:ascii="Garamond" w:hAnsi="Garamond"/>
    </w:rPr>
  </w:style>
  <w:style w:type="paragraph" w:styleId="BodyTextIndent">
    <w:name w:val="Body Text Indent"/>
    <w:basedOn w:val="Normal"/>
    <w:pPr>
      <w:ind w:left="36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2">
    <w:name w:val="Body Text Indent 2"/>
    <w:basedOn w:val="Normal"/>
    <w:pPr>
      <w:ind w:left="90"/>
    </w:pPr>
    <w:rPr>
      <w:rFonts w:ascii="Garamond" w:hAnsi="Garamond"/>
    </w:rPr>
  </w:style>
  <w:style w:type="character" w:customStyle="1" w:styleId="Heading2Char">
    <w:name w:val="Heading 2 Char"/>
    <w:link w:val="Heading2"/>
    <w:rPr>
      <w:rFonts w:ascii="Arial" w:hAnsi="Arial"/>
      <w:sz w:val="24"/>
    </w:rPr>
  </w:style>
  <w:style w:type="character" w:customStyle="1" w:styleId="Heading4Char">
    <w:name w:val="Heading 4 Char"/>
    <w:link w:val="Heading4"/>
    <w:rPr>
      <w:rFonts w:ascii="Arial" w:hAnsi="Arial"/>
      <w:b/>
      <w:sz w:val="22"/>
    </w:rPr>
  </w:style>
  <w:style w:type="character" w:customStyle="1" w:styleId="BodyTextChar">
    <w:name w:val="Body Text Char"/>
    <w:link w:val="BodyText"/>
    <w:rPr>
      <w:rFonts w:ascii="Garamond" w:hAnsi="Garamon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C0D7-6D35-4B4D-B218-91B75733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R</vt:lpstr>
    </vt:vector>
  </TitlesOfParts>
  <Company>iti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R</dc:title>
  <dc:creator>Vasquez, Juan</dc:creator>
  <cp:lastModifiedBy>Juan Vasquez</cp:lastModifiedBy>
  <cp:revision>14</cp:revision>
  <cp:lastPrinted>2014-08-07T16:07:00Z</cp:lastPrinted>
  <dcterms:created xsi:type="dcterms:W3CDTF">2022-03-01T22:26:00Z</dcterms:created>
  <dcterms:modified xsi:type="dcterms:W3CDTF">2022-07-20T20:34:00Z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Juan_Vasquez_-_Resume(August_2020).docx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