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E7" w:rsidRDefault="007C6AE7" w:rsidP="007C6AE7">
      <w:pPr>
        <w:jc w:val="center"/>
        <w:rPr>
          <w:b/>
        </w:rPr>
      </w:pPr>
      <w:r>
        <w:rPr>
          <w:b/>
        </w:rPr>
        <w:t>ARBITRATOR CONFLICTS AND DISCLOSURES</w:t>
      </w:r>
    </w:p>
    <w:p w:rsidR="007C6AE7" w:rsidRDefault="007C6AE7" w:rsidP="007C6AE7">
      <w:pPr>
        <w:jc w:val="center"/>
        <w:rPr>
          <w:b/>
        </w:rPr>
      </w:pPr>
      <w:r>
        <w:rPr>
          <w:b/>
        </w:rPr>
        <w:t>AHLA DR Service Webinar</w:t>
      </w:r>
    </w:p>
    <w:p w:rsidR="007C6AE7" w:rsidRDefault="007C6AE7" w:rsidP="007C6AE7">
      <w:pPr>
        <w:jc w:val="center"/>
        <w:rPr>
          <w:b/>
        </w:rPr>
      </w:pPr>
      <w:r>
        <w:rPr>
          <w:b/>
        </w:rPr>
        <w:t>May 9, 2019</w:t>
      </w:r>
    </w:p>
    <w:p w:rsidR="009F7E56" w:rsidRDefault="009F7E56" w:rsidP="007C6AE7">
      <w:pPr>
        <w:jc w:val="center"/>
        <w:rPr>
          <w:b/>
        </w:rPr>
      </w:pPr>
      <w:r>
        <w:rPr>
          <w:b/>
        </w:rPr>
        <w:t>John Allen Chalk, Sr.</w:t>
      </w:r>
    </w:p>
    <w:p w:rsidR="009F7E56" w:rsidRDefault="009F7E56" w:rsidP="007C6AE7">
      <w:pPr>
        <w:jc w:val="center"/>
        <w:rPr>
          <w:b/>
        </w:rPr>
      </w:pPr>
      <w:r>
        <w:rPr>
          <w:b/>
        </w:rPr>
        <w:t>Whitaker Chalk Swindle &amp; Schwartz PLLC</w:t>
      </w:r>
    </w:p>
    <w:p w:rsidR="009F7E56" w:rsidRPr="007C6AE7" w:rsidRDefault="009F7E56" w:rsidP="007C6AE7">
      <w:pPr>
        <w:jc w:val="center"/>
        <w:rPr>
          <w:b/>
        </w:rPr>
      </w:pPr>
      <w:r>
        <w:rPr>
          <w:b/>
        </w:rPr>
        <w:t>Fort Worth, Texas</w:t>
      </w:r>
      <w:bookmarkStart w:id="0" w:name="_GoBack"/>
      <w:bookmarkEnd w:id="0"/>
    </w:p>
    <w:p w:rsidR="007C6AE7" w:rsidRDefault="007C6AE7" w:rsidP="007C6AE7">
      <w:pPr>
        <w:pStyle w:val="ListParagraph"/>
      </w:pPr>
    </w:p>
    <w:p w:rsidR="00D104BB" w:rsidRDefault="007D45D2" w:rsidP="00FB7F45">
      <w:pPr>
        <w:pStyle w:val="ListParagraph"/>
        <w:numPr>
          <w:ilvl w:val="0"/>
          <w:numId w:val="1"/>
        </w:numPr>
        <w:rPr>
          <w:b/>
        </w:rPr>
      </w:pPr>
      <w:r w:rsidRPr="00FB7F45">
        <w:rPr>
          <w:b/>
        </w:rPr>
        <w:t xml:space="preserve">Conflicts of Interest vs. Required Disclosures </w:t>
      </w:r>
    </w:p>
    <w:p w:rsidR="0089676A" w:rsidRPr="00FB7F45" w:rsidRDefault="0089676A" w:rsidP="0089676A">
      <w:pPr>
        <w:pStyle w:val="ListParagraph"/>
        <w:rPr>
          <w:b/>
        </w:rPr>
      </w:pPr>
    </w:p>
    <w:p w:rsidR="003C356D" w:rsidRDefault="003C356D" w:rsidP="00A66E24">
      <w:pPr>
        <w:pStyle w:val="ListParagraph"/>
        <w:numPr>
          <w:ilvl w:val="1"/>
          <w:numId w:val="1"/>
        </w:numPr>
        <w:rPr>
          <w:b/>
        </w:rPr>
      </w:pPr>
      <w:r w:rsidRPr="0089676A">
        <w:rPr>
          <w:b/>
        </w:rPr>
        <w:t>Disclosure Defined</w:t>
      </w:r>
      <w:r w:rsidR="0089676A">
        <w:rPr>
          <w:b/>
        </w:rPr>
        <w:t>.</w:t>
      </w:r>
      <w:r w:rsidRPr="0089676A">
        <w:rPr>
          <w:b/>
        </w:rPr>
        <w:t xml:space="preserve"> </w:t>
      </w:r>
    </w:p>
    <w:p w:rsidR="0089676A" w:rsidRPr="0089676A" w:rsidRDefault="0089676A" w:rsidP="0089676A">
      <w:pPr>
        <w:pStyle w:val="ListParagraph"/>
        <w:ind w:left="1440"/>
        <w:rPr>
          <w:b/>
        </w:rPr>
      </w:pPr>
    </w:p>
    <w:p w:rsidR="00FE5094" w:rsidRDefault="003C356D" w:rsidP="00D104BB">
      <w:pPr>
        <w:pStyle w:val="ListParagraph"/>
        <w:numPr>
          <w:ilvl w:val="2"/>
          <w:numId w:val="1"/>
        </w:numPr>
      </w:pPr>
      <w:r w:rsidRPr="001601A9">
        <w:t>This Code requires all party-appointed arbitrators, whether neutral or not, to make pre-appointment disclosures of any facts which might affect their neutrality, independence, or impartiality. (</w:t>
      </w:r>
      <w:r w:rsidRPr="00986DA6">
        <w:rPr>
          <w:i/>
        </w:rPr>
        <w:t>Note on Neutrality</w:t>
      </w:r>
      <w:r w:rsidR="00C7349C" w:rsidRPr="00986DA6">
        <w:rPr>
          <w:i/>
        </w:rPr>
        <w:t xml:space="preserve"> </w:t>
      </w:r>
      <w:r w:rsidR="00C7349C" w:rsidRPr="001601A9">
        <w:t>in the Code of Ethics for Arbitrators in Commercial Disputes, pg. 2</w:t>
      </w:r>
      <w:r w:rsidRPr="001601A9">
        <w:t>)</w:t>
      </w:r>
      <w:r w:rsidR="00597A28">
        <w:t>.</w:t>
      </w:r>
    </w:p>
    <w:p w:rsidR="0089676A" w:rsidRDefault="0089676A" w:rsidP="0089676A">
      <w:pPr>
        <w:pStyle w:val="ListParagraph"/>
        <w:ind w:left="2160"/>
      </w:pPr>
    </w:p>
    <w:p w:rsidR="00597A28" w:rsidRDefault="00597A28" w:rsidP="00986DA6">
      <w:pPr>
        <w:pStyle w:val="ListParagraph"/>
        <w:numPr>
          <w:ilvl w:val="2"/>
          <w:numId w:val="1"/>
        </w:numPr>
      </w:pPr>
      <w:r>
        <w:t>The disclosure obligation in the Code is about “interests” and “relationships” described in Canon II.</w:t>
      </w:r>
    </w:p>
    <w:p w:rsidR="0089676A" w:rsidRDefault="0089676A" w:rsidP="0089676A">
      <w:pPr>
        <w:pStyle w:val="ListParagraph"/>
        <w:ind w:left="2160"/>
      </w:pPr>
    </w:p>
    <w:p w:rsidR="00597A28" w:rsidRDefault="00597A28" w:rsidP="00597A28">
      <w:pPr>
        <w:pStyle w:val="ListParagraph"/>
        <w:numPr>
          <w:ilvl w:val="3"/>
          <w:numId w:val="1"/>
        </w:numPr>
      </w:pPr>
      <w:r>
        <w:t>“Any known direct or indirect financial or personal interest in the outcome of the arbitration;”  Canon II(A)(1).</w:t>
      </w:r>
    </w:p>
    <w:p w:rsidR="0089676A" w:rsidRDefault="0089676A" w:rsidP="0089676A">
      <w:pPr>
        <w:pStyle w:val="ListParagraph"/>
        <w:ind w:left="2880"/>
      </w:pPr>
    </w:p>
    <w:p w:rsidR="00597A28" w:rsidRDefault="00597A28" w:rsidP="00597A28">
      <w:pPr>
        <w:pStyle w:val="ListParagraph"/>
        <w:numPr>
          <w:ilvl w:val="3"/>
          <w:numId w:val="1"/>
        </w:numPr>
      </w:pPr>
      <w:r>
        <w:t>“Any known existing or past financial, business, professional or personal relationships … with “any party or its lawyer, with any co</w:t>
      </w:r>
      <w:r w:rsidR="00FF3696">
        <w:t>-</w:t>
      </w:r>
      <w:r>
        <w:t>arbitrator, or with any individual whom they have been told will be a witness;” Canon</w:t>
      </w:r>
      <w:r w:rsidR="00FF3696">
        <w:t xml:space="preserve"> </w:t>
      </w:r>
      <w:r>
        <w:t>II(A)(2).</w:t>
      </w:r>
    </w:p>
    <w:p w:rsidR="0089676A" w:rsidRDefault="0089676A" w:rsidP="0089676A">
      <w:pPr>
        <w:pStyle w:val="ListParagraph"/>
        <w:ind w:left="2880"/>
      </w:pPr>
    </w:p>
    <w:p w:rsidR="00FF3696" w:rsidRPr="0089676A" w:rsidRDefault="00FF3696" w:rsidP="00597A28">
      <w:pPr>
        <w:pStyle w:val="ListParagraph"/>
        <w:numPr>
          <w:ilvl w:val="3"/>
          <w:numId w:val="1"/>
        </w:numPr>
      </w:pPr>
      <w:r>
        <w:t xml:space="preserve">Any such relationships “involving their families or household members or their current employers, partners, or professional or business associates …;”  </w:t>
      </w:r>
      <w:r>
        <w:rPr>
          <w:i/>
        </w:rPr>
        <w:t>Id.</w:t>
      </w:r>
    </w:p>
    <w:p w:rsidR="0089676A" w:rsidRDefault="0089676A" w:rsidP="0089676A">
      <w:pPr>
        <w:pStyle w:val="ListParagraph"/>
        <w:ind w:left="2880"/>
      </w:pPr>
    </w:p>
    <w:p w:rsidR="00FF3696" w:rsidRPr="0089676A" w:rsidRDefault="00FF3696" w:rsidP="00597A28">
      <w:pPr>
        <w:pStyle w:val="ListParagraph"/>
        <w:numPr>
          <w:ilvl w:val="3"/>
          <w:numId w:val="1"/>
        </w:numPr>
      </w:pPr>
      <w:r>
        <w:t>“…any prior knowledge they may have of the dispute;” Canon II(A(3).</w:t>
      </w:r>
      <w:r>
        <w:rPr>
          <w:i/>
        </w:rPr>
        <w:t>.</w:t>
      </w:r>
    </w:p>
    <w:p w:rsidR="0089676A" w:rsidRDefault="0089676A" w:rsidP="0089676A">
      <w:pPr>
        <w:pStyle w:val="ListParagraph"/>
        <w:ind w:left="2880"/>
      </w:pPr>
    </w:p>
    <w:p w:rsidR="00FF3696" w:rsidRDefault="00FF3696" w:rsidP="00597A28">
      <w:pPr>
        <w:pStyle w:val="ListParagraph"/>
        <w:numPr>
          <w:ilvl w:val="3"/>
          <w:numId w:val="1"/>
        </w:numPr>
      </w:pPr>
      <w:r>
        <w:t>“Any other matters, relationships, or interests which they are obligated to disclosure …</w:t>
      </w:r>
    </w:p>
    <w:p w:rsidR="00FF3696" w:rsidRDefault="00FF3696" w:rsidP="00FF3696">
      <w:pPr>
        <w:pStyle w:val="ListParagraph"/>
        <w:numPr>
          <w:ilvl w:val="4"/>
          <w:numId w:val="1"/>
        </w:numPr>
      </w:pPr>
      <w:r>
        <w:t>By agreement of the parties;</w:t>
      </w:r>
    </w:p>
    <w:p w:rsidR="00FF3696" w:rsidRDefault="00FF3696" w:rsidP="00FF3696">
      <w:pPr>
        <w:pStyle w:val="ListParagraph"/>
        <w:numPr>
          <w:ilvl w:val="4"/>
          <w:numId w:val="1"/>
        </w:numPr>
      </w:pPr>
      <w:r>
        <w:t>By rules or practices of an institution; or</w:t>
      </w:r>
    </w:p>
    <w:p w:rsidR="00FF3696" w:rsidRDefault="00FF3696" w:rsidP="00FF3696">
      <w:pPr>
        <w:pStyle w:val="ListParagraph"/>
        <w:numPr>
          <w:ilvl w:val="4"/>
          <w:numId w:val="1"/>
        </w:numPr>
      </w:pPr>
      <w:r>
        <w:t>Applicable law regulating arbitrator disclosure.  Canon II(A)(4).</w:t>
      </w:r>
    </w:p>
    <w:p w:rsidR="0089676A" w:rsidRDefault="0089676A" w:rsidP="0089676A">
      <w:pPr>
        <w:pStyle w:val="ListParagraph"/>
        <w:numPr>
          <w:ilvl w:val="5"/>
          <w:numId w:val="1"/>
        </w:numPr>
      </w:pPr>
      <w:r>
        <w:t>California Code of Civil Procedure §§1281.9 (“Neutral arbitrators; disclosure of information; disqualification; waiver”) and 1281.91 (“Disqualification of neutral arbitrators”).</w:t>
      </w:r>
    </w:p>
    <w:p w:rsidR="0089676A" w:rsidRDefault="0089676A" w:rsidP="0089676A">
      <w:pPr>
        <w:pStyle w:val="ListParagraph"/>
        <w:numPr>
          <w:ilvl w:val="5"/>
          <w:numId w:val="1"/>
        </w:numPr>
      </w:pPr>
      <w:r>
        <w:lastRenderedPageBreak/>
        <w:t>California Code of Civil Procedure §1281.85 (“Ethical standards applicable to neutral arbitrators”).</w:t>
      </w:r>
    </w:p>
    <w:p w:rsidR="0089676A" w:rsidRDefault="0089676A" w:rsidP="0089676A">
      <w:pPr>
        <w:pStyle w:val="ListParagraph"/>
        <w:ind w:left="3600"/>
      </w:pPr>
    </w:p>
    <w:p w:rsidR="00FF3696" w:rsidRDefault="00FF3696" w:rsidP="00FF3696">
      <w:pPr>
        <w:pStyle w:val="ListParagraph"/>
        <w:numPr>
          <w:ilvl w:val="3"/>
          <w:numId w:val="1"/>
        </w:numPr>
      </w:pPr>
      <w:r>
        <w:t xml:space="preserve">“Arbitrators must </w:t>
      </w:r>
      <w:r w:rsidRPr="00BF2747">
        <w:t>comply with the Code of Ethics for Arbitrators in Commercial Disputes posted on AHLA’s website.”  Rule 4.1(b), AHLA DR Service, Rules of Procedure for Arbitration.</w:t>
      </w:r>
    </w:p>
    <w:p w:rsidR="0089676A" w:rsidRPr="00BF2747" w:rsidRDefault="0089676A" w:rsidP="0089676A">
      <w:pPr>
        <w:pStyle w:val="ListParagraph"/>
        <w:ind w:left="2880"/>
      </w:pPr>
    </w:p>
    <w:p w:rsidR="00FF3696" w:rsidRDefault="00FF3696" w:rsidP="00FB7F45">
      <w:pPr>
        <w:pStyle w:val="ListParagraph"/>
        <w:numPr>
          <w:ilvl w:val="3"/>
          <w:numId w:val="1"/>
        </w:numPr>
      </w:pPr>
      <w:r w:rsidRPr="00BF2747">
        <w:t>Arbitrators, parties and their representatives “shall disclose to the AAA any circumstance likely to give rise to justifiable doubt as to the arbitrator’s impartiality or independence, including any bias or any financial or personal interest in the result of the arbitration or any past or present relationship with the parties or their representatives.”  R-17(a), AAA Commercial Arbitration Rules (2013).</w:t>
      </w:r>
    </w:p>
    <w:p w:rsidR="00BD28E6" w:rsidRDefault="00BD28E6" w:rsidP="00BD28E6">
      <w:pPr>
        <w:pStyle w:val="ListParagraph"/>
      </w:pPr>
    </w:p>
    <w:p w:rsidR="00D7242C" w:rsidRDefault="00BD28E6" w:rsidP="00BD28E6">
      <w:pPr>
        <w:pStyle w:val="ListParagraph"/>
        <w:numPr>
          <w:ilvl w:val="2"/>
          <w:numId w:val="1"/>
        </w:numPr>
      </w:pPr>
      <w:r>
        <w:t>The arbitrator’s duty to disclose also includes disclosure of “any such relations involving their families or household members or their current employers, partners, or professional or business associates that can be ascertained by reasonable efforts.” Cannon II(A)(2).</w:t>
      </w:r>
    </w:p>
    <w:p w:rsidR="00D7242C" w:rsidRDefault="00D7242C" w:rsidP="00D7242C">
      <w:pPr>
        <w:pStyle w:val="ListParagraph"/>
        <w:ind w:left="2160"/>
      </w:pPr>
    </w:p>
    <w:p w:rsidR="00BD28E6" w:rsidRDefault="00D7242C" w:rsidP="00BD28E6">
      <w:pPr>
        <w:pStyle w:val="ListParagraph"/>
        <w:numPr>
          <w:ilvl w:val="2"/>
          <w:numId w:val="1"/>
        </w:numPr>
      </w:pPr>
      <w:r>
        <w:t>“Within five (5) days after receiving an offer of appointment from the Administrator, a candidate who has been selected must complete the Arbitration Disclosure Checklist and decide whether or not to accept the appointment.”</w:t>
      </w:r>
      <w:r w:rsidR="00BD28E6">
        <w:t xml:space="preserve"> </w:t>
      </w:r>
      <w:r>
        <w:t xml:space="preserve"> AHLA Rules of Procedure for Arbitration Rule 3.3 (hereinafter “AHLA Rule ___”).</w:t>
      </w:r>
    </w:p>
    <w:p w:rsidR="00D7242C" w:rsidRDefault="00D7242C" w:rsidP="00D7242C">
      <w:pPr>
        <w:pStyle w:val="ListParagraph"/>
      </w:pPr>
    </w:p>
    <w:p w:rsidR="00D7242C" w:rsidRDefault="00D7242C" w:rsidP="00BD28E6">
      <w:pPr>
        <w:pStyle w:val="ListParagraph"/>
        <w:numPr>
          <w:ilvl w:val="2"/>
          <w:numId w:val="1"/>
        </w:numPr>
      </w:pPr>
      <w:r>
        <w:t>When a panel is required, “All three (3) arbitrators are presumed to be neutral.”  AHLA Rule 3.5.</w:t>
      </w:r>
    </w:p>
    <w:p w:rsidR="0089676A" w:rsidRPr="00BF2747" w:rsidRDefault="0089676A" w:rsidP="0089676A">
      <w:pPr>
        <w:pStyle w:val="ListParagraph"/>
        <w:ind w:left="2880"/>
      </w:pPr>
    </w:p>
    <w:p w:rsidR="00D104BB" w:rsidRDefault="00986DA6" w:rsidP="00D104BB">
      <w:pPr>
        <w:pStyle w:val="ListParagraph"/>
        <w:numPr>
          <w:ilvl w:val="1"/>
          <w:numId w:val="1"/>
        </w:numPr>
        <w:rPr>
          <w:b/>
        </w:rPr>
      </w:pPr>
      <w:r w:rsidRPr="0089676A">
        <w:rPr>
          <w:b/>
        </w:rPr>
        <w:t>Conflict</w:t>
      </w:r>
      <w:r w:rsidR="00D104BB" w:rsidRPr="0089676A">
        <w:rPr>
          <w:b/>
        </w:rPr>
        <w:t>s</w:t>
      </w:r>
      <w:r w:rsidRPr="0089676A">
        <w:rPr>
          <w:b/>
        </w:rPr>
        <w:t xml:space="preserve"> of Interest defined.</w:t>
      </w:r>
    </w:p>
    <w:p w:rsidR="0089676A" w:rsidRPr="0089676A" w:rsidRDefault="0089676A" w:rsidP="0089676A">
      <w:pPr>
        <w:pStyle w:val="ListParagraph"/>
        <w:ind w:left="1440"/>
        <w:rPr>
          <w:b/>
        </w:rPr>
      </w:pPr>
    </w:p>
    <w:p w:rsidR="00986DA6" w:rsidRDefault="00DF73FA" w:rsidP="00986DA6">
      <w:pPr>
        <w:pStyle w:val="ListParagraph"/>
        <w:numPr>
          <w:ilvl w:val="2"/>
          <w:numId w:val="1"/>
        </w:numPr>
      </w:pPr>
      <w:r>
        <w:t xml:space="preserve">Model Rules of Professional </w:t>
      </w:r>
      <w:r w:rsidR="001C5932">
        <w:t>Conduct</w:t>
      </w:r>
      <w:r w:rsidR="00986DA6" w:rsidRPr="00BF2747">
        <w:t>.</w:t>
      </w:r>
    </w:p>
    <w:p w:rsidR="0089676A" w:rsidRPr="00BF2747" w:rsidRDefault="0089676A" w:rsidP="0089676A">
      <w:pPr>
        <w:pStyle w:val="ListParagraph"/>
        <w:ind w:left="2160"/>
      </w:pPr>
    </w:p>
    <w:p w:rsidR="00986DA6" w:rsidRDefault="00986DA6" w:rsidP="00986DA6">
      <w:pPr>
        <w:pStyle w:val="ListParagraph"/>
        <w:numPr>
          <w:ilvl w:val="3"/>
          <w:numId w:val="1"/>
        </w:numPr>
      </w:pPr>
      <w:r w:rsidRPr="00BF2747">
        <w:t>Conflict</w:t>
      </w:r>
      <w:r w:rsidR="00597A28" w:rsidRPr="00BF2747">
        <w:t>s</w:t>
      </w:r>
      <w:r w:rsidRPr="00BF2747">
        <w:t xml:space="preserve"> of Interest </w:t>
      </w:r>
      <w:r w:rsidR="00E22A82" w:rsidRPr="00BF2747">
        <w:t>exists if</w:t>
      </w:r>
      <w:r w:rsidRPr="00BF2747">
        <w:t>:</w:t>
      </w:r>
    </w:p>
    <w:p w:rsidR="0089676A" w:rsidRPr="00BF2747" w:rsidRDefault="0089676A" w:rsidP="0089676A">
      <w:pPr>
        <w:pStyle w:val="ListParagraph"/>
        <w:ind w:left="2880"/>
      </w:pPr>
    </w:p>
    <w:p w:rsidR="00986DA6" w:rsidRDefault="00E22A82" w:rsidP="00986DA6">
      <w:pPr>
        <w:pStyle w:val="ListParagraph"/>
        <w:numPr>
          <w:ilvl w:val="4"/>
          <w:numId w:val="1"/>
        </w:numPr>
      </w:pPr>
      <w:r w:rsidRPr="00BF2747">
        <w:t>“The representation of one client will be directly adverse to another client.” Rule 1.7(a)(1).</w:t>
      </w:r>
      <w:r w:rsidRPr="00BF2747">
        <w:rPr>
          <w:rStyle w:val="FootnoteReference"/>
        </w:rPr>
        <w:footnoteReference w:id="1"/>
      </w:r>
    </w:p>
    <w:p w:rsidR="0089676A" w:rsidRPr="00BF2747" w:rsidRDefault="0089676A" w:rsidP="0089676A">
      <w:pPr>
        <w:pStyle w:val="ListParagraph"/>
        <w:ind w:left="3600"/>
      </w:pPr>
    </w:p>
    <w:p w:rsidR="0089676A" w:rsidRPr="0089676A" w:rsidRDefault="00E22A82" w:rsidP="00E22A82">
      <w:pPr>
        <w:pStyle w:val="ListParagraph"/>
        <w:numPr>
          <w:ilvl w:val="4"/>
          <w:numId w:val="1"/>
        </w:numPr>
      </w:pPr>
      <w:r w:rsidRPr="00BF2747">
        <w:rPr>
          <w:color w:val="000000"/>
        </w:rPr>
        <w:t>“</w:t>
      </w:r>
      <w:r w:rsidR="0089676A">
        <w:rPr>
          <w:color w:val="000000"/>
        </w:rPr>
        <w:t>T</w:t>
      </w:r>
      <w:r w:rsidRPr="00BF2747">
        <w:rPr>
          <w:color w:val="000000"/>
        </w:rPr>
        <w:t>here is a significant risk that the representation of one or more clients will be materially limited by the lawyer's responsibilities to another client, a former client or a third person or by a personal interest of the lawyer.” Rule 1.7(a)(2).</w:t>
      </w:r>
      <w:r w:rsidRPr="00BF2747">
        <w:rPr>
          <w:rStyle w:val="FootnoteReference"/>
          <w:color w:val="000000"/>
        </w:rPr>
        <w:footnoteReference w:id="2"/>
      </w:r>
    </w:p>
    <w:p w:rsidR="00E22A82" w:rsidRPr="00BF2747" w:rsidRDefault="00986DA6" w:rsidP="0089676A">
      <w:pPr>
        <w:pStyle w:val="ListParagraph"/>
        <w:ind w:left="3600"/>
      </w:pPr>
      <w:r w:rsidRPr="00BF2747">
        <w:lastRenderedPageBreak/>
        <w:t xml:space="preserve">  </w:t>
      </w:r>
    </w:p>
    <w:p w:rsidR="00E22A82" w:rsidRPr="0089676A" w:rsidRDefault="00E22A82" w:rsidP="00E22A82">
      <w:pPr>
        <w:pStyle w:val="ListParagraph"/>
        <w:numPr>
          <w:ilvl w:val="4"/>
          <w:numId w:val="1"/>
        </w:numPr>
      </w:pPr>
      <w:r w:rsidRPr="00BF2747">
        <w:t>“</w:t>
      </w:r>
      <w:r w:rsidRPr="00BF2747">
        <w:rPr>
          <w:color w:val="000000"/>
        </w:rPr>
        <w:t>Notwithstanding the existence of a concurrent conflict of interest under paragraph (a), a lawyer may represent a client if:</w:t>
      </w:r>
    </w:p>
    <w:p w:rsidR="0089676A" w:rsidRPr="00BF2747" w:rsidRDefault="0089676A" w:rsidP="0089676A">
      <w:pPr>
        <w:pStyle w:val="ListParagraph"/>
        <w:ind w:left="3600"/>
      </w:pPr>
    </w:p>
    <w:p w:rsidR="00E22A82" w:rsidRPr="00BF2747" w:rsidRDefault="00E22A82" w:rsidP="00E22A82">
      <w:pPr>
        <w:pStyle w:val="NormalWeb"/>
        <w:spacing w:before="0" w:beforeAutospacing="0" w:after="0" w:afterAutospacing="0"/>
        <w:ind w:left="4140"/>
        <w:jc w:val="both"/>
        <w:rPr>
          <w:color w:val="000000"/>
        </w:rPr>
      </w:pPr>
      <w:r w:rsidRPr="00BF2747">
        <w:rPr>
          <w:color w:val="000000"/>
        </w:rPr>
        <w:t>(1) the lawyer reasonably believes that the lawyer will be able to provide competent and diligent representation to each affected client;</w:t>
      </w:r>
    </w:p>
    <w:p w:rsidR="00E22A82" w:rsidRPr="00BF2747" w:rsidRDefault="00E22A82" w:rsidP="00E22A82">
      <w:pPr>
        <w:pStyle w:val="NormalWeb"/>
        <w:spacing w:before="0" w:beforeAutospacing="0" w:after="0" w:afterAutospacing="0"/>
        <w:ind w:left="4140"/>
        <w:jc w:val="both"/>
        <w:rPr>
          <w:color w:val="000000"/>
        </w:rPr>
      </w:pPr>
      <w:r w:rsidRPr="00BF2747">
        <w:rPr>
          <w:color w:val="000000"/>
        </w:rPr>
        <w:t>(2) the representation is not prohibited by law;</w:t>
      </w:r>
    </w:p>
    <w:p w:rsidR="00E22A82" w:rsidRPr="00BF2747" w:rsidRDefault="00E22A82" w:rsidP="00E22A82">
      <w:pPr>
        <w:pStyle w:val="NormalWeb"/>
        <w:spacing w:before="0" w:beforeAutospacing="0" w:after="0" w:afterAutospacing="0"/>
        <w:ind w:left="4140"/>
        <w:jc w:val="both"/>
        <w:rPr>
          <w:color w:val="000000"/>
        </w:rPr>
      </w:pPr>
      <w:r w:rsidRPr="00BF2747">
        <w:rPr>
          <w:color w:val="000000"/>
        </w:rPr>
        <w:t>(3) the representation does not involve the assertion of a claim by one client against another client represented by the lawyer in the same litigation or other proceeding before a tribunal; and</w:t>
      </w:r>
    </w:p>
    <w:p w:rsidR="00E22A82" w:rsidRDefault="00E22A82" w:rsidP="00E22A82">
      <w:pPr>
        <w:pStyle w:val="NormalWeb"/>
        <w:spacing w:before="0" w:beforeAutospacing="0" w:after="0" w:afterAutospacing="0"/>
        <w:ind w:left="4140"/>
        <w:jc w:val="both"/>
        <w:rPr>
          <w:color w:val="000000"/>
        </w:rPr>
      </w:pPr>
      <w:r w:rsidRPr="00BF2747">
        <w:rPr>
          <w:color w:val="000000"/>
        </w:rPr>
        <w:t>(4) each affected client gives informed consent, confirmed in writing.” Rule 7.1(b).</w:t>
      </w:r>
    </w:p>
    <w:p w:rsidR="0089676A" w:rsidRPr="00BF2747" w:rsidRDefault="0089676A" w:rsidP="00E22A82">
      <w:pPr>
        <w:pStyle w:val="NormalWeb"/>
        <w:spacing w:before="0" w:beforeAutospacing="0" w:after="0" w:afterAutospacing="0"/>
        <w:ind w:left="4140"/>
        <w:jc w:val="both"/>
        <w:rPr>
          <w:color w:val="000000"/>
        </w:rPr>
      </w:pPr>
    </w:p>
    <w:p w:rsidR="0089676A" w:rsidRPr="00BD28E6" w:rsidRDefault="00BF2747" w:rsidP="00986DA6">
      <w:pPr>
        <w:pStyle w:val="ListParagraph"/>
        <w:numPr>
          <w:ilvl w:val="4"/>
          <w:numId w:val="1"/>
        </w:numPr>
      </w:pPr>
      <w:r w:rsidRPr="00BF2747">
        <w:t>With some exceptions “</w:t>
      </w:r>
      <w:r w:rsidRPr="00BF2747">
        <w:rPr>
          <w:color w:val="000000"/>
        </w:rPr>
        <w:t>While lawyers are associated in a firm, none of them shall knowingly represent a client when any one of them practicing alone would be prohibited from doing so by Rules 1.7 or 1.9 . . .” Rule 1.10(a).</w:t>
      </w:r>
      <w:r w:rsidRPr="00BF2747">
        <w:rPr>
          <w:rStyle w:val="FootnoteReference"/>
          <w:color w:val="000000"/>
        </w:rPr>
        <w:footnoteReference w:id="3"/>
      </w:r>
    </w:p>
    <w:p w:rsidR="00714FD6" w:rsidRPr="00BD28E6" w:rsidRDefault="00A359AF" w:rsidP="00BD28E6">
      <w:pPr>
        <w:pStyle w:val="ListParagraph"/>
        <w:numPr>
          <w:ilvl w:val="5"/>
          <w:numId w:val="1"/>
        </w:numPr>
      </w:pPr>
      <w:r w:rsidRPr="00BD28E6">
        <w:t xml:space="preserve">Exceptions in Model Rule 1.10(a)(1)-(2)are </w:t>
      </w:r>
      <w:r w:rsidRPr="00BD28E6">
        <w:rPr>
          <w:b/>
          <w:bCs/>
          <w:u w:val="single"/>
        </w:rPr>
        <w:t>very</w:t>
      </w:r>
      <w:r w:rsidRPr="00BD28E6">
        <w:t xml:space="preserve"> narrow</w:t>
      </w:r>
    </w:p>
    <w:p w:rsidR="00714FD6" w:rsidRPr="00BD28E6" w:rsidRDefault="00A359AF" w:rsidP="00BD28E6">
      <w:pPr>
        <w:pStyle w:val="ListParagraph"/>
        <w:numPr>
          <w:ilvl w:val="5"/>
          <w:numId w:val="1"/>
        </w:numPr>
      </w:pPr>
      <w:r w:rsidRPr="00BD28E6">
        <w:t>The prohibition is based on a personal interest of the disqualified lawyer and does not present a significant risk of materially limiting the representation of the client by the remaining lawyers in the firm, or</w:t>
      </w:r>
    </w:p>
    <w:p w:rsidR="00714FD6" w:rsidRPr="00BD28E6" w:rsidRDefault="00A359AF" w:rsidP="00BD28E6">
      <w:pPr>
        <w:pStyle w:val="ListParagraph"/>
        <w:numPr>
          <w:ilvl w:val="5"/>
          <w:numId w:val="1"/>
        </w:numPr>
      </w:pPr>
      <w:r w:rsidRPr="00BD28E6">
        <w:t>The prohibition is based upon Rule 1.9(a) or (b) [former client rules] and arises out of the disqualified lawyer’s association with a prior firm, and</w:t>
      </w:r>
    </w:p>
    <w:p w:rsidR="00BD28E6" w:rsidRPr="0089676A" w:rsidRDefault="00A359AF" w:rsidP="00BD28E6">
      <w:pPr>
        <w:pStyle w:val="ListParagraph"/>
        <w:numPr>
          <w:ilvl w:val="6"/>
          <w:numId w:val="1"/>
        </w:numPr>
      </w:pPr>
      <w:r w:rsidRPr="00BD28E6">
        <w:t xml:space="preserve">The disqualified lawyer is timely screened . . . and is apportioned no part of the fee therefrom; written notice is promptly given to any affected former client; and certifications of compliance with these Rules and with the screening procedures are provided to the former client by the screened lawyer and by a partner of the firm . . .  </w:t>
      </w:r>
    </w:p>
    <w:p w:rsidR="00E22A82" w:rsidRPr="00BF2747" w:rsidRDefault="00BF2747" w:rsidP="0089676A">
      <w:pPr>
        <w:pStyle w:val="ListParagraph"/>
        <w:ind w:left="3600"/>
      </w:pPr>
      <w:r w:rsidRPr="00BF2747">
        <w:rPr>
          <w:color w:val="000000"/>
        </w:rPr>
        <w:t xml:space="preserve"> </w:t>
      </w:r>
    </w:p>
    <w:p w:rsidR="00D104BB" w:rsidRPr="004901E1" w:rsidRDefault="003C356D" w:rsidP="00D104BB">
      <w:pPr>
        <w:pStyle w:val="ListParagraph"/>
        <w:numPr>
          <w:ilvl w:val="1"/>
          <w:numId w:val="1"/>
        </w:numPr>
        <w:rPr>
          <w:b/>
        </w:rPr>
      </w:pPr>
      <w:r w:rsidRPr="004901E1">
        <w:rPr>
          <w:b/>
        </w:rPr>
        <w:t xml:space="preserve">Differences </w:t>
      </w:r>
      <w:r w:rsidR="00FB7F45" w:rsidRPr="004901E1">
        <w:rPr>
          <w:b/>
        </w:rPr>
        <w:t>between</w:t>
      </w:r>
      <w:r w:rsidRPr="004901E1">
        <w:rPr>
          <w:b/>
        </w:rPr>
        <w:t xml:space="preserve"> Disclosures and Conflicts of Interest</w:t>
      </w:r>
      <w:r w:rsidR="00FF3696" w:rsidRPr="004901E1">
        <w:rPr>
          <w:b/>
        </w:rPr>
        <w:t>.</w:t>
      </w:r>
    </w:p>
    <w:p w:rsidR="00FB7F45" w:rsidRPr="00FB7F45" w:rsidRDefault="00FB7F45" w:rsidP="00FB7F45">
      <w:pPr>
        <w:pStyle w:val="ListParagraph"/>
        <w:ind w:left="1440"/>
      </w:pPr>
    </w:p>
    <w:tbl>
      <w:tblPr>
        <w:tblStyle w:val="TableGrid"/>
        <w:tblW w:w="7470" w:type="dxa"/>
        <w:tblInd w:w="1975" w:type="dxa"/>
        <w:tblLook w:val="0000" w:firstRow="0" w:lastRow="0" w:firstColumn="0" w:lastColumn="0" w:noHBand="0" w:noVBand="0"/>
      </w:tblPr>
      <w:tblGrid>
        <w:gridCol w:w="3600"/>
        <w:gridCol w:w="3870"/>
      </w:tblGrid>
      <w:tr w:rsidR="00DF1481" w:rsidTr="00FB7F45">
        <w:tc>
          <w:tcPr>
            <w:tcW w:w="3600" w:type="dxa"/>
          </w:tcPr>
          <w:p w:rsidR="00DF1481" w:rsidRPr="00D104BB" w:rsidRDefault="00DF1481" w:rsidP="00DF1481">
            <w:pPr>
              <w:rPr>
                <w:b/>
              </w:rPr>
            </w:pPr>
            <w:r w:rsidRPr="00D104BB">
              <w:rPr>
                <w:b/>
                <w:bCs/>
              </w:rPr>
              <w:t xml:space="preserve">Disclosures </w:t>
            </w:r>
          </w:p>
        </w:tc>
        <w:tc>
          <w:tcPr>
            <w:tcW w:w="3870" w:type="dxa"/>
          </w:tcPr>
          <w:p w:rsidR="00DF1481" w:rsidRPr="00D104BB" w:rsidRDefault="00DF1481" w:rsidP="00DF1481">
            <w:pPr>
              <w:rPr>
                <w:b/>
              </w:rPr>
            </w:pPr>
            <w:r w:rsidRPr="00D104BB">
              <w:rPr>
                <w:b/>
                <w:bCs/>
              </w:rPr>
              <w:t xml:space="preserve">Conflicts </w:t>
            </w:r>
          </w:p>
        </w:tc>
      </w:tr>
      <w:tr w:rsidR="00DF1481" w:rsidTr="00FB7F45">
        <w:tc>
          <w:tcPr>
            <w:tcW w:w="3600" w:type="dxa"/>
          </w:tcPr>
          <w:p w:rsidR="00DF1481" w:rsidRPr="00DF1481" w:rsidRDefault="00DF1481" w:rsidP="00DF1481">
            <w:r w:rsidRPr="00DF1481">
              <w:lastRenderedPageBreak/>
              <w:t xml:space="preserve">Focuses on the participants in the arbitration process: the parties, party representatives, co-arbitrators, and witnesses </w:t>
            </w:r>
          </w:p>
        </w:tc>
        <w:tc>
          <w:tcPr>
            <w:tcW w:w="3870" w:type="dxa"/>
          </w:tcPr>
          <w:p w:rsidR="00DF1481" w:rsidRPr="00DF1481" w:rsidRDefault="00DF1481" w:rsidP="00DF1481">
            <w:r w:rsidRPr="00DF1481">
              <w:t xml:space="preserve">Focuses on the representation of multiple clients </w:t>
            </w:r>
          </w:p>
        </w:tc>
      </w:tr>
      <w:tr w:rsidR="00DF1481" w:rsidTr="00FB7F45">
        <w:tc>
          <w:tcPr>
            <w:tcW w:w="3600" w:type="dxa"/>
          </w:tcPr>
          <w:p w:rsidR="00DF1481" w:rsidRPr="00DF1481" w:rsidRDefault="00DF1481" w:rsidP="00DF1481">
            <w:r w:rsidRPr="00DF1481">
              <w:t xml:space="preserve">Continuing obligation to disclose throughout the entire arbitration </w:t>
            </w:r>
          </w:p>
        </w:tc>
        <w:tc>
          <w:tcPr>
            <w:tcW w:w="3870" w:type="dxa"/>
          </w:tcPr>
          <w:p w:rsidR="00DF1481" w:rsidRPr="00DF1481" w:rsidRDefault="00DF1481" w:rsidP="00DF1481">
            <w:r w:rsidRPr="00DF1481">
              <w:t>Initial determination at the beginning of the representation of clients</w:t>
            </w:r>
          </w:p>
        </w:tc>
      </w:tr>
      <w:tr w:rsidR="00DF1481" w:rsidTr="00FB7F45">
        <w:tc>
          <w:tcPr>
            <w:tcW w:w="3600" w:type="dxa"/>
          </w:tcPr>
          <w:p w:rsidR="00DF1481" w:rsidRPr="00DF1481" w:rsidRDefault="00DF1481" w:rsidP="00DF1481">
            <w:r w:rsidRPr="00DF1481">
              <w:t>Relationships and interest-centered</w:t>
            </w:r>
          </w:p>
        </w:tc>
        <w:tc>
          <w:tcPr>
            <w:tcW w:w="3870" w:type="dxa"/>
          </w:tcPr>
          <w:p w:rsidR="00DF1481" w:rsidRPr="00DF1481" w:rsidRDefault="00DF1481" w:rsidP="00DF1481">
            <w:r w:rsidRPr="00DF1481">
              <w:t xml:space="preserve">Client centered </w:t>
            </w:r>
          </w:p>
        </w:tc>
      </w:tr>
      <w:tr w:rsidR="00DF1481" w:rsidTr="00FB7F45">
        <w:trPr>
          <w:trHeight w:val="260"/>
        </w:trPr>
        <w:tc>
          <w:tcPr>
            <w:tcW w:w="3600" w:type="dxa"/>
          </w:tcPr>
          <w:p w:rsidR="00DF1481" w:rsidRPr="00DF1481" w:rsidRDefault="00DF1481" w:rsidP="00DF1481">
            <w:r w:rsidRPr="00DF1481">
              <w:t>Analysis by the arbitration parties</w:t>
            </w:r>
          </w:p>
        </w:tc>
        <w:tc>
          <w:tcPr>
            <w:tcW w:w="3870" w:type="dxa"/>
          </w:tcPr>
          <w:p w:rsidR="00DF1481" w:rsidRPr="00DF1481" w:rsidRDefault="00DF1481" w:rsidP="00DF1481">
            <w:r w:rsidRPr="00DF1481">
              <w:t>Initial analysis by the lawyers</w:t>
            </w:r>
          </w:p>
        </w:tc>
      </w:tr>
    </w:tbl>
    <w:p w:rsidR="00FE5094" w:rsidRPr="001601A9" w:rsidRDefault="00FE5094" w:rsidP="00FB7F45"/>
    <w:p w:rsidR="00C7349C" w:rsidRPr="004901E1" w:rsidRDefault="00A66E24" w:rsidP="00A66E24">
      <w:pPr>
        <w:pStyle w:val="ListParagraph"/>
        <w:numPr>
          <w:ilvl w:val="1"/>
          <w:numId w:val="1"/>
        </w:numPr>
        <w:rPr>
          <w:b/>
        </w:rPr>
      </w:pPr>
      <w:r w:rsidRPr="004901E1">
        <w:rPr>
          <w:b/>
        </w:rPr>
        <w:t>Model Rules of Professional Responsibility</w:t>
      </w:r>
      <w:r w:rsidR="004901E1">
        <w:rPr>
          <w:b/>
        </w:rPr>
        <w:t>.</w:t>
      </w:r>
    </w:p>
    <w:p w:rsidR="00A66E24" w:rsidRDefault="00C7349C" w:rsidP="00FB7F45">
      <w:pPr>
        <w:pStyle w:val="ListParagraph"/>
        <w:numPr>
          <w:ilvl w:val="2"/>
          <w:numId w:val="1"/>
        </w:numPr>
      </w:pPr>
      <w:r w:rsidRPr="001601A9">
        <w:t>1.7-1.12 Conflicts of Interest rules</w:t>
      </w:r>
      <w:r w:rsidR="00FE5094">
        <w:t>.</w:t>
      </w:r>
    </w:p>
    <w:p w:rsidR="004901E1" w:rsidRPr="001601A9" w:rsidRDefault="004901E1" w:rsidP="004901E1">
      <w:pPr>
        <w:pStyle w:val="ListParagraph"/>
        <w:ind w:left="2160"/>
      </w:pPr>
    </w:p>
    <w:p w:rsidR="004901E1" w:rsidRPr="004901E1" w:rsidRDefault="00A66E24" w:rsidP="00A66E24">
      <w:pPr>
        <w:pStyle w:val="ListParagraph"/>
        <w:numPr>
          <w:ilvl w:val="1"/>
          <w:numId w:val="1"/>
        </w:numPr>
        <w:rPr>
          <w:b/>
        </w:rPr>
      </w:pPr>
      <w:r w:rsidRPr="004901E1">
        <w:rPr>
          <w:b/>
        </w:rPr>
        <w:t>Law firm relationships and the attribution rule</w:t>
      </w:r>
      <w:r w:rsidR="004901E1" w:rsidRPr="004901E1">
        <w:rPr>
          <w:b/>
        </w:rPr>
        <w:t>.</w:t>
      </w:r>
    </w:p>
    <w:p w:rsidR="00A66E24" w:rsidRPr="001601A9" w:rsidRDefault="00A66E24" w:rsidP="004901E1">
      <w:pPr>
        <w:pStyle w:val="ListParagraph"/>
        <w:ind w:left="1440"/>
      </w:pPr>
      <w:r w:rsidRPr="001601A9">
        <w:t xml:space="preserve"> </w:t>
      </w:r>
    </w:p>
    <w:p w:rsidR="00DF1481" w:rsidRDefault="00A66E24" w:rsidP="00DF1481">
      <w:pPr>
        <w:pStyle w:val="ListParagraph"/>
        <w:numPr>
          <w:ilvl w:val="2"/>
          <w:numId w:val="1"/>
        </w:numPr>
        <w:jc w:val="both"/>
      </w:pPr>
      <w:r w:rsidRPr="001601A9">
        <w:t>Opinion 90-357</w:t>
      </w:r>
      <w:r w:rsidR="0008308A" w:rsidRPr="001601A9">
        <w:t xml:space="preserve"> (DM 179840) (JAC Letter 179801</w:t>
      </w:r>
      <w:r w:rsidR="00753475" w:rsidRPr="001601A9">
        <w:t>)</w:t>
      </w:r>
    </w:p>
    <w:p w:rsidR="007E3887" w:rsidRDefault="007E3887" w:rsidP="004901E1">
      <w:pPr>
        <w:pStyle w:val="ListParagraph"/>
        <w:ind w:left="2160"/>
        <w:jc w:val="both"/>
      </w:pPr>
    </w:p>
    <w:p w:rsidR="004901E1" w:rsidRDefault="00753475" w:rsidP="00DF1481">
      <w:pPr>
        <w:pStyle w:val="ListParagraph"/>
        <w:numPr>
          <w:ilvl w:val="3"/>
          <w:numId w:val="1"/>
        </w:numPr>
        <w:jc w:val="both"/>
      </w:pPr>
      <w:r w:rsidRPr="001601A9">
        <w:t xml:space="preserve">“ABA Formal Opinion 90-357 (the “Opinion”) purports to apply to </w:t>
      </w:r>
      <w:r w:rsidRPr="00DF1481">
        <w:rPr>
          <w:b/>
        </w:rPr>
        <w:t>all</w:t>
      </w:r>
      <w:r w:rsidRPr="001601A9">
        <w:t xml:space="preserve"> “of counsel” relationships.</w:t>
      </w:r>
      <w:r w:rsidRPr="001601A9">
        <w:rPr>
          <w:rStyle w:val="FootnoteReference"/>
        </w:rPr>
        <w:footnoteReference w:id="4"/>
      </w:r>
    </w:p>
    <w:p w:rsidR="00DF1481" w:rsidRDefault="00753475" w:rsidP="004901E1">
      <w:pPr>
        <w:pStyle w:val="ListParagraph"/>
        <w:ind w:left="2880"/>
        <w:jc w:val="both"/>
      </w:pPr>
      <w:r w:rsidRPr="001601A9">
        <w:t xml:space="preserve">  </w:t>
      </w:r>
    </w:p>
    <w:p w:rsidR="004901E1" w:rsidRDefault="00753475" w:rsidP="00DF1481">
      <w:pPr>
        <w:pStyle w:val="ListParagraph"/>
        <w:numPr>
          <w:ilvl w:val="3"/>
          <w:numId w:val="1"/>
        </w:numPr>
        <w:jc w:val="both"/>
      </w:pPr>
      <w:r w:rsidRPr="001601A9">
        <w:t>The “central, and defining, characteristic” of the “of counsel” relationship is a “close, regular, personal relationship” but neither that of a “partner (or its equivalent, a principal of a professional corporation),” nor, on the other hand, “the status ordinarily conveyed by the term ‘associate,’ which is to say a junior non-partner lawyer, regularly employed by the firm.”</w:t>
      </w:r>
      <w:r w:rsidRPr="001601A9">
        <w:rPr>
          <w:rStyle w:val="FootnoteReference"/>
        </w:rPr>
        <w:footnoteReference w:id="5"/>
      </w:r>
    </w:p>
    <w:p w:rsidR="00DF1481" w:rsidRDefault="00753475" w:rsidP="004901E1">
      <w:pPr>
        <w:pStyle w:val="ListParagraph"/>
        <w:ind w:left="2880"/>
        <w:jc w:val="both"/>
      </w:pPr>
      <w:r w:rsidRPr="001601A9">
        <w:t xml:space="preserve">  </w:t>
      </w:r>
    </w:p>
    <w:p w:rsidR="004901E1" w:rsidRDefault="00753475" w:rsidP="00DF1481">
      <w:pPr>
        <w:pStyle w:val="ListParagraph"/>
        <w:numPr>
          <w:ilvl w:val="3"/>
          <w:numId w:val="1"/>
        </w:numPr>
        <w:jc w:val="both"/>
      </w:pPr>
      <w:r w:rsidRPr="001601A9">
        <w:t xml:space="preserve">The Opinion lists four relationships in which “it is </w:t>
      </w:r>
      <w:r w:rsidRPr="00DF1481">
        <w:rPr>
          <w:b/>
        </w:rPr>
        <w:t>not ethically permissible</w:t>
      </w:r>
      <w:r w:rsidRPr="001601A9">
        <w:t xml:space="preserve"> to use the term ‘of counsel’ to designate the relationship: </w:t>
      </w:r>
      <w:r w:rsidR="003C356D" w:rsidRPr="001601A9">
        <w:t xml:space="preserve">(i) </w:t>
      </w:r>
      <w:r w:rsidRPr="001601A9">
        <w:t xml:space="preserve">“a relationship involving only an individual case”; </w:t>
      </w:r>
      <w:r w:rsidR="003C356D" w:rsidRPr="001601A9">
        <w:t xml:space="preserve">(ii) </w:t>
      </w:r>
      <w:r w:rsidRPr="001601A9">
        <w:t xml:space="preserve">“a relationship of forwarder or receiver of legal business”; </w:t>
      </w:r>
      <w:r w:rsidR="003C356D" w:rsidRPr="001601A9">
        <w:t xml:space="preserve">(iii) </w:t>
      </w:r>
      <w:r w:rsidRPr="001601A9">
        <w:t xml:space="preserve">“a relationship involving only occasional collaborative efforts among otherwise unrelated lawyers or firms”; and </w:t>
      </w:r>
      <w:r w:rsidR="003C356D" w:rsidRPr="001601A9">
        <w:t xml:space="preserve">(iv) </w:t>
      </w:r>
      <w:r w:rsidRPr="001601A9">
        <w:t>“the relationship of an outside consultant.”</w:t>
      </w:r>
      <w:r w:rsidRPr="001601A9">
        <w:rPr>
          <w:rStyle w:val="FootnoteReference"/>
        </w:rPr>
        <w:footnoteReference w:id="6"/>
      </w:r>
    </w:p>
    <w:p w:rsidR="00DF1481" w:rsidRDefault="00753475" w:rsidP="004901E1">
      <w:pPr>
        <w:pStyle w:val="ListParagraph"/>
        <w:ind w:left="2880"/>
        <w:jc w:val="both"/>
      </w:pPr>
      <w:r w:rsidRPr="001601A9">
        <w:t xml:space="preserve">  </w:t>
      </w:r>
    </w:p>
    <w:p w:rsidR="004901E1" w:rsidRDefault="00753475" w:rsidP="00DF1481">
      <w:pPr>
        <w:pStyle w:val="ListParagraph"/>
        <w:numPr>
          <w:ilvl w:val="3"/>
          <w:numId w:val="1"/>
        </w:numPr>
        <w:jc w:val="both"/>
      </w:pPr>
      <w:r w:rsidRPr="001601A9">
        <w:t>The “of counsel” relationship “clearly means that the lawyer is ‘associated’ with each firm with which the lawyer is of counsel.”</w:t>
      </w:r>
      <w:r w:rsidRPr="001601A9">
        <w:rPr>
          <w:rStyle w:val="FootnoteReference"/>
        </w:rPr>
        <w:footnoteReference w:id="7"/>
      </w:r>
    </w:p>
    <w:p w:rsidR="00DF1481" w:rsidRDefault="00DF1481" w:rsidP="004901E1">
      <w:pPr>
        <w:pStyle w:val="ListParagraph"/>
        <w:ind w:left="2880"/>
        <w:jc w:val="both"/>
      </w:pPr>
    </w:p>
    <w:p w:rsidR="004901E1" w:rsidRDefault="00753475" w:rsidP="00DF1481">
      <w:pPr>
        <w:pStyle w:val="ListParagraph"/>
        <w:numPr>
          <w:ilvl w:val="3"/>
          <w:numId w:val="1"/>
        </w:numPr>
        <w:jc w:val="both"/>
      </w:pPr>
      <w:r w:rsidRPr="001601A9">
        <w:t>This means that “there is attribution to the lawyer who is of counsel of all the disqualifications of each firm” (with which the lawyer is ‘of counsel’) and “attribution from the of counsel lawyer to each firm,” of each of the ‘of counsel’ lawyer’s disqualifications.</w:t>
      </w:r>
      <w:r w:rsidRPr="001601A9">
        <w:rPr>
          <w:rStyle w:val="FootnoteReference"/>
        </w:rPr>
        <w:footnoteReference w:id="8"/>
      </w:r>
    </w:p>
    <w:p w:rsidR="00DF1481" w:rsidRDefault="00753475" w:rsidP="004901E1">
      <w:pPr>
        <w:pStyle w:val="ListParagraph"/>
        <w:ind w:left="2880"/>
        <w:jc w:val="both"/>
      </w:pPr>
      <w:r w:rsidRPr="001601A9">
        <w:lastRenderedPageBreak/>
        <w:t xml:space="preserve">  </w:t>
      </w:r>
    </w:p>
    <w:p w:rsidR="004901E1" w:rsidRDefault="00753475" w:rsidP="00DF1481">
      <w:pPr>
        <w:pStyle w:val="ListParagraph"/>
        <w:numPr>
          <w:ilvl w:val="3"/>
          <w:numId w:val="1"/>
        </w:numPr>
        <w:jc w:val="both"/>
      </w:pPr>
      <w:r w:rsidRPr="001601A9">
        <w:t>This means that if an ‘of counsel’ lawyer was so related to more than one firm at the same time, “the effect of two or more firms sharing an</w:t>
      </w:r>
      <w:r w:rsidR="00D63A11">
        <w:t xml:space="preserve"> </w:t>
      </w:r>
      <w:r w:rsidRPr="001601A9">
        <w:t>of counsel lawyer is to make them all effectively a single firm, for purposes of attribution of disqualifications.”</w:t>
      </w:r>
      <w:r w:rsidRPr="001601A9">
        <w:rPr>
          <w:rStyle w:val="FootnoteReference"/>
        </w:rPr>
        <w:footnoteReference w:id="9"/>
      </w:r>
    </w:p>
    <w:p w:rsidR="00DF1481" w:rsidRDefault="00753475" w:rsidP="004901E1">
      <w:pPr>
        <w:pStyle w:val="ListParagraph"/>
        <w:ind w:left="2880"/>
        <w:jc w:val="both"/>
      </w:pPr>
      <w:r w:rsidRPr="001601A9">
        <w:t xml:space="preserve">  </w:t>
      </w:r>
    </w:p>
    <w:p w:rsidR="004901E1" w:rsidRDefault="00753475" w:rsidP="00DF1481">
      <w:pPr>
        <w:pStyle w:val="ListParagraph"/>
        <w:numPr>
          <w:ilvl w:val="3"/>
          <w:numId w:val="1"/>
        </w:numPr>
        <w:jc w:val="both"/>
      </w:pPr>
      <w:r w:rsidRPr="001601A9">
        <w:t>The attribution rules are stated in the Texas Disciplinary Rules of Professional Conduct at 1.06(f), 1.09(b), 1.10(b), and 1.11(c), which dictates “that an of counsel lawyer (or firm) is ‘associated in’ and has an ‘association with’ the firm (or firms) to which the lawyer is of counsel,” for purposes of [the attribution rules in TDRPC 1.06(f), 1.09(b), 1.10(b), and 1.11(c)].</w:t>
      </w:r>
      <w:r w:rsidRPr="001601A9">
        <w:rPr>
          <w:rStyle w:val="FootnoteReference"/>
        </w:rPr>
        <w:footnoteReference w:id="10"/>
      </w:r>
      <w:r w:rsidRPr="001601A9">
        <w:t>”</w:t>
      </w:r>
    </w:p>
    <w:p w:rsidR="00753475" w:rsidRPr="001601A9" w:rsidRDefault="00753475" w:rsidP="004901E1">
      <w:pPr>
        <w:pStyle w:val="ListParagraph"/>
        <w:ind w:left="2880"/>
        <w:jc w:val="both"/>
      </w:pPr>
      <w:r w:rsidRPr="001601A9">
        <w:t xml:space="preserve">  </w:t>
      </w:r>
    </w:p>
    <w:p w:rsidR="002A6E25" w:rsidRDefault="001B6560" w:rsidP="001B6560">
      <w:pPr>
        <w:pStyle w:val="ListParagraph"/>
        <w:numPr>
          <w:ilvl w:val="2"/>
          <w:numId w:val="1"/>
        </w:numPr>
        <w:jc w:val="both"/>
      </w:pPr>
      <w:r>
        <w:rPr>
          <w:i/>
        </w:rPr>
        <w:t xml:space="preserve">Amoco D.T. Co. v. Occidental Petroleum, </w:t>
      </w:r>
      <w:r>
        <w:t>343 S.W.3d 837 (Tex. App—Houston [14</w:t>
      </w:r>
      <w:r w:rsidRPr="001B6560">
        <w:rPr>
          <w:vertAlign w:val="superscript"/>
        </w:rPr>
        <w:t>th</w:t>
      </w:r>
      <w:r>
        <w:rPr>
          <w:vertAlign w:val="superscript"/>
        </w:rPr>
        <w:t xml:space="preserve"> </w:t>
      </w:r>
      <w:r>
        <w:t>Dist.] 2011)</w:t>
      </w:r>
      <w:r w:rsidR="00854453">
        <w:t xml:space="preserve">, pet. denied. </w:t>
      </w:r>
      <w:r>
        <w:t xml:space="preserve"> </w:t>
      </w:r>
    </w:p>
    <w:p w:rsidR="00FB7F45" w:rsidRPr="001601A9" w:rsidRDefault="00FB7F45" w:rsidP="00FB7F45">
      <w:pPr>
        <w:pStyle w:val="ListParagraph"/>
        <w:ind w:left="2160"/>
        <w:jc w:val="both"/>
      </w:pPr>
    </w:p>
    <w:p w:rsidR="007D45D2" w:rsidRDefault="007D45D2" w:rsidP="007D45D2">
      <w:pPr>
        <w:pStyle w:val="ListParagraph"/>
        <w:numPr>
          <w:ilvl w:val="0"/>
          <w:numId w:val="1"/>
        </w:numPr>
        <w:rPr>
          <w:b/>
        </w:rPr>
      </w:pPr>
      <w:r w:rsidRPr="00DF1481">
        <w:rPr>
          <w:b/>
        </w:rPr>
        <w:t>Arbitrator disclosures are statutorily mandated.</w:t>
      </w:r>
    </w:p>
    <w:p w:rsidR="004901E1" w:rsidRPr="00DF1481" w:rsidRDefault="004901E1" w:rsidP="004901E1">
      <w:pPr>
        <w:pStyle w:val="ListParagraph"/>
        <w:rPr>
          <w:b/>
        </w:rPr>
      </w:pPr>
    </w:p>
    <w:p w:rsidR="007D45D2" w:rsidRPr="001601A9" w:rsidRDefault="007D45D2" w:rsidP="007D45D2">
      <w:pPr>
        <w:pStyle w:val="ListParagraph"/>
        <w:numPr>
          <w:ilvl w:val="1"/>
          <w:numId w:val="1"/>
        </w:numPr>
      </w:pPr>
      <w:r w:rsidRPr="001601A9">
        <w:t>FAA.</w:t>
      </w:r>
    </w:p>
    <w:p w:rsidR="00854453" w:rsidRDefault="00854453" w:rsidP="00E506BF">
      <w:pPr>
        <w:pStyle w:val="ListParagraph"/>
        <w:numPr>
          <w:ilvl w:val="2"/>
          <w:numId w:val="1"/>
        </w:numPr>
      </w:pPr>
      <w:r>
        <w:t>9 U.S.C. §§ 2, 10(a)(2)</w:t>
      </w:r>
    </w:p>
    <w:p w:rsidR="00C7349C" w:rsidRDefault="00E506BF" w:rsidP="00E506BF">
      <w:pPr>
        <w:pStyle w:val="ListParagraph"/>
        <w:numPr>
          <w:ilvl w:val="2"/>
          <w:numId w:val="1"/>
        </w:numPr>
      </w:pPr>
      <w:r w:rsidRPr="001601A9">
        <w:t xml:space="preserve">Disclosures for Arbitrators in Domestic Commercial Disputes: A Checklist, ABA 2009, available at </w:t>
      </w:r>
      <w:hyperlink r:id="rId8" w:history="1">
        <w:r w:rsidR="00854453" w:rsidRPr="006E1B2C">
          <w:rPr>
            <w:rStyle w:val="Hyperlink"/>
          </w:rPr>
          <w:t>https://www.americanbar.org/content/dam/aba/migrated/dispute/docs/DisclosureChecklist.authcheckdam.pdf</w:t>
        </w:r>
      </w:hyperlink>
      <w:r w:rsidR="00854453">
        <w:t xml:space="preserve"> </w:t>
      </w:r>
    </w:p>
    <w:p w:rsidR="004901E1" w:rsidRPr="001601A9" w:rsidRDefault="004901E1" w:rsidP="004901E1">
      <w:pPr>
        <w:pStyle w:val="ListParagraph"/>
        <w:ind w:left="2160"/>
      </w:pPr>
    </w:p>
    <w:p w:rsidR="007D45D2" w:rsidRDefault="00F83F2B" w:rsidP="007D45D2">
      <w:pPr>
        <w:pStyle w:val="ListParagraph"/>
        <w:numPr>
          <w:ilvl w:val="1"/>
          <w:numId w:val="1"/>
        </w:numPr>
      </w:pPr>
      <w:r>
        <w:t xml:space="preserve">UAA of 1955 does not discuss disclosures, this was </w:t>
      </w:r>
      <w:r w:rsidR="00EA67D5">
        <w:t>changed</w:t>
      </w:r>
      <w:r>
        <w:t xml:space="preserve"> in the 2000 revisions</w:t>
      </w:r>
      <w:r w:rsidR="004901E1">
        <w:t>.</w:t>
      </w:r>
    </w:p>
    <w:p w:rsidR="004901E1" w:rsidRPr="001601A9" w:rsidRDefault="004901E1" w:rsidP="004901E1">
      <w:pPr>
        <w:pStyle w:val="ListParagraph"/>
        <w:ind w:left="1440"/>
      </w:pPr>
    </w:p>
    <w:p w:rsidR="007D45D2" w:rsidRDefault="007D45D2" w:rsidP="007D45D2">
      <w:pPr>
        <w:pStyle w:val="ListParagraph"/>
        <w:numPr>
          <w:ilvl w:val="1"/>
          <w:numId w:val="1"/>
        </w:numPr>
      </w:pPr>
      <w:r w:rsidRPr="001601A9">
        <w:t>RUAA</w:t>
      </w:r>
      <w:r w:rsidR="00854453">
        <w:t xml:space="preserve"> (2000)</w:t>
      </w:r>
      <w:r w:rsidRPr="001601A9">
        <w:t>.</w:t>
      </w:r>
    </w:p>
    <w:p w:rsidR="004901E1" w:rsidRPr="001601A9" w:rsidRDefault="004901E1" w:rsidP="004901E1">
      <w:pPr>
        <w:pStyle w:val="ListParagraph"/>
        <w:ind w:left="1440"/>
      </w:pPr>
    </w:p>
    <w:p w:rsidR="00E506BF" w:rsidRDefault="00E506BF" w:rsidP="00E506BF">
      <w:pPr>
        <w:pStyle w:val="ListParagraph"/>
        <w:numPr>
          <w:ilvl w:val="2"/>
          <w:numId w:val="1"/>
        </w:numPr>
      </w:pPr>
      <w:r w:rsidRPr="001601A9">
        <w:t>Section 12: “[A]n arbitrator, after making a reasonable inquiry, shall disclose … any known facts that a reasonable person would consider likely to affect the impartiality of the arbitrator …”</w:t>
      </w:r>
    </w:p>
    <w:p w:rsidR="004901E1" w:rsidRDefault="004901E1" w:rsidP="004901E1">
      <w:pPr>
        <w:pStyle w:val="ListParagraph"/>
        <w:ind w:left="2160"/>
      </w:pPr>
    </w:p>
    <w:p w:rsidR="00F83F2B" w:rsidRDefault="00F83F2B" w:rsidP="00E506BF">
      <w:pPr>
        <w:pStyle w:val="ListParagraph"/>
        <w:numPr>
          <w:ilvl w:val="2"/>
          <w:numId w:val="1"/>
        </w:numPr>
      </w:pPr>
      <w:r>
        <w:t>Arbitrators have a co</w:t>
      </w:r>
      <w:r w:rsidR="004901E1">
        <w:t>ntinuing obligation to disclose.</w:t>
      </w:r>
    </w:p>
    <w:p w:rsidR="00D7242C" w:rsidRDefault="00D7242C" w:rsidP="00D7242C">
      <w:pPr>
        <w:pStyle w:val="ListParagraph"/>
        <w:ind w:left="2160"/>
      </w:pPr>
    </w:p>
    <w:p w:rsidR="00F83F2B" w:rsidRDefault="00F83F2B" w:rsidP="00E506BF">
      <w:pPr>
        <w:pStyle w:val="ListParagraph"/>
        <w:numPr>
          <w:ilvl w:val="2"/>
          <w:numId w:val="1"/>
        </w:numPr>
      </w:pPr>
      <w:r>
        <w:t>If the arbitrator fails to timely disclose, the court may vacate an award under Section 23(a)(2) [evident partiality, corruption, or arbitrator misconduct]</w:t>
      </w:r>
      <w:r w:rsidR="004901E1">
        <w:t>.</w:t>
      </w:r>
    </w:p>
    <w:p w:rsidR="004901E1" w:rsidRDefault="004901E1" w:rsidP="004901E1">
      <w:pPr>
        <w:pStyle w:val="ListParagraph"/>
        <w:ind w:left="2160"/>
      </w:pPr>
    </w:p>
    <w:p w:rsidR="004901E1" w:rsidRDefault="00F83F2B" w:rsidP="00E506BF">
      <w:pPr>
        <w:pStyle w:val="ListParagraph"/>
        <w:numPr>
          <w:ilvl w:val="2"/>
          <w:numId w:val="1"/>
        </w:numPr>
      </w:pPr>
      <w:r>
        <w:t>States that have adopted the RUAA</w:t>
      </w:r>
      <w:r w:rsidR="004901E1">
        <w:t>.</w:t>
      </w:r>
    </w:p>
    <w:p w:rsidR="00F83F2B" w:rsidRDefault="00F83F2B" w:rsidP="004901E1">
      <w:pPr>
        <w:pStyle w:val="ListParagraph"/>
        <w:ind w:left="2160"/>
      </w:pPr>
      <w:r>
        <w:t xml:space="preserve"> </w:t>
      </w:r>
    </w:p>
    <w:p w:rsidR="00F83F2B" w:rsidRDefault="004901E1" w:rsidP="00F83F2B">
      <w:pPr>
        <w:pStyle w:val="ListParagraph"/>
        <w:numPr>
          <w:ilvl w:val="3"/>
          <w:numId w:val="1"/>
        </w:numPr>
      </w:pPr>
      <w:r>
        <w:t>Twenty (</w:t>
      </w:r>
      <w:r w:rsidR="00F83F2B">
        <w:t>20</w:t>
      </w:r>
      <w:r>
        <w:t>)</w:t>
      </w:r>
      <w:r w:rsidR="00F83F2B">
        <w:t xml:space="preserve"> stat</w:t>
      </w:r>
      <w:r w:rsidR="00EA67D5">
        <w:t xml:space="preserve">es and the District of Columbia have adopted the RUAA, </w:t>
      </w:r>
    </w:p>
    <w:p w:rsidR="00EA67D5" w:rsidRDefault="00EA67D5" w:rsidP="00EA67D5">
      <w:pPr>
        <w:pStyle w:val="ListParagraph"/>
        <w:numPr>
          <w:ilvl w:val="4"/>
          <w:numId w:val="1"/>
        </w:numPr>
      </w:pPr>
      <w:r>
        <w:lastRenderedPageBreak/>
        <w:t>Alaska, Arizona, Arkansas, Colorado, Connecticut, Florida, Hawaii, Kansas, Michigan, Minnesota, Nevada, New Jersey, New Mexico, North Carolina, North Dakota, Oklahoma, Oregon, Utah, Washington, and West Virginia</w:t>
      </w:r>
      <w:r w:rsidR="004901E1">
        <w:t>.</w:t>
      </w:r>
    </w:p>
    <w:p w:rsidR="004901E1" w:rsidRDefault="004901E1" w:rsidP="004901E1">
      <w:pPr>
        <w:pStyle w:val="ListParagraph"/>
        <w:ind w:left="3600"/>
      </w:pPr>
    </w:p>
    <w:p w:rsidR="00EA67D5" w:rsidRDefault="004901E1" w:rsidP="00F83F2B">
      <w:pPr>
        <w:pStyle w:val="ListParagraph"/>
        <w:numPr>
          <w:ilvl w:val="3"/>
          <w:numId w:val="1"/>
        </w:numPr>
      </w:pPr>
      <w:r>
        <w:t>Three (</w:t>
      </w:r>
      <w:r w:rsidR="00EA67D5">
        <w:t>3</w:t>
      </w:r>
      <w:r>
        <w:t>)</w:t>
      </w:r>
      <w:r w:rsidR="00EA67D5">
        <w:t xml:space="preserve"> other states are in various stages of adopting it (Pennsylvania, Massachusetts, and Vermont)</w:t>
      </w:r>
      <w:r>
        <w:t>.</w:t>
      </w:r>
    </w:p>
    <w:p w:rsidR="004901E1" w:rsidRDefault="004901E1" w:rsidP="004901E1">
      <w:pPr>
        <w:pStyle w:val="ListParagraph"/>
        <w:ind w:left="2880"/>
      </w:pPr>
    </w:p>
    <w:p w:rsidR="004901E1" w:rsidRDefault="00EA67D5" w:rsidP="00F83F2B">
      <w:pPr>
        <w:pStyle w:val="ListParagraph"/>
        <w:numPr>
          <w:ilvl w:val="3"/>
          <w:numId w:val="1"/>
        </w:numPr>
      </w:pPr>
      <w:r>
        <w:t>Notably, California, New York, Texas, and Delaware have not adopted the RUAA</w:t>
      </w:r>
      <w:r w:rsidR="004901E1">
        <w:t>.</w:t>
      </w:r>
    </w:p>
    <w:p w:rsidR="00EA67D5" w:rsidRDefault="00EA67D5" w:rsidP="004901E1">
      <w:pPr>
        <w:pStyle w:val="ListParagraph"/>
        <w:ind w:left="2880"/>
      </w:pPr>
      <w:r>
        <w:t xml:space="preserve"> </w:t>
      </w:r>
    </w:p>
    <w:p w:rsidR="00EA67D5" w:rsidRDefault="00EA67D5" w:rsidP="00EA67D5">
      <w:pPr>
        <w:pStyle w:val="ListParagraph"/>
        <w:numPr>
          <w:ilvl w:val="1"/>
          <w:numId w:val="1"/>
        </w:numPr>
      </w:pPr>
      <w:r>
        <w:t>California Code of Civil Procedure §§ 1280 et. seq (Cal. Arb. Act)</w:t>
      </w:r>
      <w:r w:rsidR="004901E1">
        <w:t>.</w:t>
      </w:r>
    </w:p>
    <w:p w:rsidR="004901E1" w:rsidRDefault="004901E1" w:rsidP="004901E1">
      <w:pPr>
        <w:pStyle w:val="ListParagraph"/>
        <w:ind w:left="1440"/>
      </w:pPr>
    </w:p>
    <w:p w:rsidR="00EA67D5" w:rsidRDefault="00EA67D5" w:rsidP="00EA67D5">
      <w:pPr>
        <w:pStyle w:val="ListParagraph"/>
        <w:numPr>
          <w:ilvl w:val="2"/>
          <w:numId w:val="1"/>
        </w:numPr>
      </w:pPr>
      <w:r>
        <w:t xml:space="preserve">Written disclosures within 10 days after </w:t>
      </w:r>
      <w:r w:rsidR="008B3530">
        <w:t>being proposed as an arbitrator. § 1281.9(b)</w:t>
      </w:r>
      <w:r w:rsidR="004901E1">
        <w:t>.</w:t>
      </w:r>
    </w:p>
    <w:p w:rsidR="00D7242C" w:rsidRDefault="00D7242C" w:rsidP="00D7242C">
      <w:pPr>
        <w:pStyle w:val="ListParagraph"/>
        <w:ind w:left="2160"/>
      </w:pPr>
    </w:p>
    <w:p w:rsidR="008B3530" w:rsidRPr="000533E8" w:rsidRDefault="008B3530" w:rsidP="00EA67D5">
      <w:pPr>
        <w:pStyle w:val="ListParagraph"/>
        <w:numPr>
          <w:ilvl w:val="2"/>
          <w:numId w:val="1"/>
        </w:numPr>
      </w:pPr>
      <w:r w:rsidRPr="000533E8">
        <w:rPr>
          <w:shd w:val="clear" w:color="auto" w:fill="FFFFFF"/>
        </w:rPr>
        <w:t>“ . . . the proposed neutral arbitrator shall disclose all matters that could cause a person aware of the facts to reasonably entertain a doubt that the proposed neutral arbitrator would be able to be impartial</w:t>
      </w:r>
      <w:r w:rsidR="000533E8">
        <w:rPr>
          <w:shd w:val="clear" w:color="auto" w:fill="FFFFFF"/>
        </w:rPr>
        <w:t>.</w:t>
      </w:r>
      <w:r w:rsidRPr="000533E8">
        <w:rPr>
          <w:shd w:val="clear" w:color="auto" w:fill="FFFFFF"/>
        </w:rPr>
        <w:t>” § 1281.9(a)</w:t>
      </w:r>
    </w:p>
    <w:p w:rsidR="000533E8" w:rsidRPr="00D7242C" w:rsidRDefault="000533E8" w:rsidP="000533E8">
      <w:pPr>
        <w:pStyle w:val="ListParagraph"/>
        <w:numPr>
          <w:ilvl w:val="3"/>
          <w:numId w:val="1"/>
        </w:numPr>
      </w:pPr>
      <w:r>
        <w:rPr>
          <w:shd w:val="clear" w:color="auto" w:fill="FFFFFF"/>
        </w:rPr>
        <w:t>Scope of disclosures in § 1281.9(a)(1)-(6)</w:t>
      </w:r>
      <w:r w:rsidR="004901E1">
        <w:rPr>
          <w:shd w:val="clear" w:color="auto" w:fill="FFFFFF"/>
        </w:rPr>
        <w:t>.</w:t>
      </w:r>
    </w:p>
    <w:p w:rsidR="00D7242C" w:rsidRPr="000533E8" w:rsidRDefault="00D7242C" w:rsidP="00D7242C">
      <w:pPr>
        <w:pStyle w:val="ListParagraph"/>
        <w:ind w:left="2880"/>
      </w:pPr>
    </w:p>
    <w:p w:rsidR="008B3530" w:rsidRDefault="000533E8" w:rsidP="00EA67D5">
      <w:pPr>
        <w:pStyle w:val="ListParagraph"/>
        <w:numPr>
          <w:ilvl w:val="2"/>
          <w:numId w:val="1"/>
        </w:numPr>
      </w:pPr>
      <w:r w:rsidRPr="000533E8">
        <w:rPr>
          <w:shd w:val="clear" w:color="auto" w:fill="FFFFFF"/>
        </w:rPr>
        <w:t>“A proposed neutral arbitrator shall be disqualified if he or she fails to comply with </w:t>
      </w:r>
      <w:r w:rsidRPr="000533E8">
        <w:rPr>
          <w:bdr w:val="none" w:sz="0" w:space="0" w:color="auto" w:frame="1"/>
          <w:shd w:val="clear" w:color="auto" w:fill="FFFFFF"/>
        </w:rPr>
        <w:t>Section 1281.9</w:t>
      </w:r>
      <w:r w:rsidRPr="000533E8">
        <w:t xml:space="preserve"> . . .” § 1281.91(a)</w:t>
      </w:r>
    </w:p>
    <w:p w:rsidR="00FE5094" w:rsidRPr="001601A9" w:rsidRDefault="00FE5094" w:rsidP="00FE5094">
      <w:pPr>
        <w:pStyle w:val="ListParagraph"/>
        <w:ind w:left="2160"/>
      </w:pPr>
    </w:p>
    <w:p w:rsidR="007D45D2" w:rsidRDefault="007D45D2" w:rsidP="007D45D2">
      <w:pPr>
        <w:pStyle w:val="ListParagraph"/>
        <w:numPr>
          <w:ilvl w:val="0"/>
          <w:numId w:val="1"/>
        </w:numPr>
        <w:rPr>
          <w:b/>
        </w:rPr>
      </w:pPr>
      <w:r w:rsidRPr="00DF1481">
        <w:rPr>
          <w:b/>
        </w:rPr>
        <w:t xml:space="preserve">Arbitrator disclosures are ethically </w:t>
      </w:r>
      <w:r w:rsidR="00F83F2B">
        <w:rPr>
          <w:b/>
        </w:rPr>
        <w:t>mandated</w:t>
      </w:r>
      <w:r w:rsidRPr="00DF1481">
        <w:rPr>
          <w:b/>
        </w:rPr>
        <w:t>.</w:t>
      </w:r>
    </w:p>
    <w:p w:rsidR="004901E1" w:rsidRPr="00DF1481" w:rsidRDefault="004901E1" w:rsidP="004901E1">
      <w:pPr>
        <w:pStyle w:val="ListParagraph"/>
        <w:rPr>
          <w:b/>
        </w:rPr>
      </w:pPr>
    </w:p>
    <w:p w:rsidR="007D45D2" w:rsidRDefault="007D45D2" w:rsidP="007D45D2">
      <w:pPr>
        <w:pStyle w:val="ListParagraph"/>
        <w:numPr>
          <w:ilvl w:val="1"/>
          <w:numId w:val="1"/>
        </w:numPr>
      </w:pPr>
      <w:r w:rsidRPr="001601A9">
        <w:t>Code of Ethics for Arbitrators in Commercial Disputes</w:t>
      </w:r>
      <w:r w:rsidR="00F80EBD">
        <w:t xml:space="preserve"> (effective March 1, 2004)</w:t>
      </w:r>
      <w:r w:rsidRPr="001601A9">
        <w:t>, Canon II.</w:t>
      </w:r>
    </w:p>
    <w:p w:rsidR="004901E1" w:rsidRPr="001601A9" w:rsidRDefault="004901E1" w:rsidP="004901E1">
      <w:pPr>
        <w:pStyle w:val="ListParagraph"/>
        <w:ind w:left="1440"/>
      </w:pPr>
    </w:p>
    <w:p w:rsidR="00753475" w:rsidRDefault="00753475" w:rsidP="00753475">
      <w:pPr>
        <w:pStyle w:val="ListParagraph"/>
        <w:numPr>
          <w:ilvl w:val="2"/>
          <w:numId w:val="1"/>
        </w:numPr>
      </w:pPr>
      <w:r w:rsidRPr="001601A9">
        <w:t>“The ethical obligations of an arbitrator begin upon acceptance of the appointment and continue throughout all stages of the proceeding. In addition, as set forth in this Code, certain ethical obligations begin as soon as a person is requested to serve as an arbitrator and certain ethical obligations continue after the decision in the proceeding has been given to the parties.”</w:t>
      </w:r>
      <w:r w:rsidR="004501A3">
        <w:t xml:space="preserve">  Canon I (G).</w:t>
      </w:r>
    </w:p>
    <w:p w:rsidR="004501A3" w:rsidRDefault="004501A3" w:rsidP="004501A3">
      <w:pPr>
        <w:pStyle w:val="ListParagraph"/>
        <w:ind w:left="2160"/>
      </w:pPr>
    </w:p>
    <w:p w:rsidR="004501A3" w:rsidRPr="004901E1" w:rsidRDefault="004501A3" w:rsidP="004501A3">
      <w:pPr>
        <w:pStyle w:val="ListParagraph"/>
        <w:numPr>
          <w:ilvl w:val="2"/>
          <w:numId w:val="1"/>
        </w:numPr>
        <w:rPr>
          <w:rStyle w:val="Strong"/>
          <w:bCs w:val="0"/>
        </w:rPr>
      </w:pPr>
      <w:r w:rsidRPr="001601A9">
        <w:rPr>
          <w:rStyle w:val="Strong"/>
          <w:b w:val="0"/>
          <w:shd w:val="clear" w:color="auto" w:fill="FFFFFF"/>
        </w:rPr>
        <w:t xml:space="preserve">Canon II. </w:t>
      </w:r>
      <w:r>
        <w:rPr>
          <w:rStyle w:val="Strong"/>
          <w:b w:val="0"/>
          <w:shd w:val="clear" w:color="auto" w:fill="FFFFFF"/>
        </w:rPr>
        <w:t>“</w:t>
      </w:r>
      <w:r w:rsidRPr="001601A9">
        <w:rPr>
          <w:rStyle w:val="Strong"/>
          <w:b w:val="0"/>
          <w:shd w:val="clear" w:color="auto" w:fill="FFFFFF"/>
        </w:rPr>
        <w:t xml:space="preserve">An Arbitrator Should Disclose Any Interest Or Relationship Likely To Affect Impartiality Or Which Might Create An Appearance Of </w:t>
      </w:r>
      <w:r>
        <w:rPr>
          <w:rStyle w:val="Strong"/>
          <w:b w:val="0"/>
          <w:shd w:val="clear" w:color="auto" w:fill="FFFFFF"/>
        </w:rPr>
        <w:t>P</w:t>
      </w:r>
      <w:r w:rsidRPr="001601A9">
        <w:rPr>
          <w:rStyle w:val="Strong"/>
          <w:b w:val="0"/>
          <w:shd w:val="clear" w:color="auto" w:fill="FFFFFF"/>
        </w:rPr>
        <w:t>artiality.</w:t>
      </w:r>
      <w:r>
        <w:rPr>
          <w:rStyle w:val="Strong"/>
          <w:b w:val="0"/>
          <w:shd w:val="clear" w:color="auto" w:fill="FFFFFF"/>
        </w:rPr>
        <w:t>”</w:t>
      </w:r>
    </w:p>
    <w:p w:rsidR="004501A3" w:rsidRDefault="004501A3" w:rsidP="004501A3">
      <w:pPr>
        <w:pStyle w:val="ListParagraph"/>
        <w:ind w:left="2160"/>
      </w:pPr>
    </w:p>
    <w:p w:rsidR="00FE5094" w:rsidRDefault="00FE5094" w:rsidP="00753475">
      <w:pPr>
        <w:pStyle w:val="ListParagraph"/>
        <w:numPr>
          <w:ilvl w:val="2"/>
          <w:numId w:val="1"/>
        </w:numPr>
      </w:pPr>
      <w:r>
        <w:t xml:space="preserve">At request to </w:t>
      </w:r>
      <w:r w:rsidR="007C6AE7">
        <w:t>serve as arbitrator, that person “should make a reasonable effort to inform themselves of any interests or relationship</w:t>
      </w:r>
      <w:r w:rsidR="004501A3">
        <w:t>s</w:t>
      </w:r>
      <w:r w:rsidR="007C6AE7">
        <w:t xml:space="preserve"> described in paragraph A</w:t>
      </w:r>
      <w:r w:rsidR="004501A3">
        <w:t xml:space="preserve"> [II (A)(1)-(4)]</w:t>
      </w:r>
      <w:r w:rsidR="007C6AE7">
        <w:t>.”  Canon II</w:t>
      </w:r>
      <w:r w:rsidR="004501A3">
        <w:t xml:space="preserve"> </w:t>
      </w:r>
      <w:r w:rsidR="007C6AE7">
        <w:t>(B).</w:t>
      </w:r>
    </w:p>
    <w:p w:rsidR="004501A3" w:rsidRDefault="004501A3" w:rsidP="004501A3">
      <w:pPr>
        <w:pStyle w:val="ListParagraph"/>
        <w:ind w:left="2160"/>
      </w:pPr>
    </w:p>
    <w:p w:rsidR="007C6AE7" w:rsidRDefault="007C6AE7" w:rsidP="00753475">
      <w:pPr>
        <w:pStyle w:val="ListParagraph"/>
        <w:numPr>
          <w:ilvl w:val="2"/>
          <w:numId w:val="1"/>
        </w:numPr>
      </w:pPr>
      <w:r>
        <w:t>The obligation to disclose “is a continuing duty.”  Canon II</w:t>
      </w:r>
      <w:r w:rsidR="004501A3">
        <w:t xml:space="preserve"> </w:t>
      </w:r>
      <w:r>
        <w:t>(C).</w:t>
      </w:r>
    </w:p>
    <w:p w:rsidR="004501A3" w:rsidRDefault="004501A3" w:rsidP="004501A3">
      <w:pPr>
        <w:pStyle w:val="ListParagraph"/>
        <w:ind w:left="2160"/>
      </w:pPr>
    </w:p>
    <w:p w:rsidR="007C6AE7" w:rsidRDefault="007C6AE7" w:rsidP="00753475">
      <w:pPr>
        <w:pStyle w:val="ListParagraph"/>
        <w:numPr>
          <w:ilvl w:val="2"/>
          <w:numId w:val="1"/>
        </w:numPr>
      </w:pPr>
      <w:r>
        <w:lastRenderedPageBreak/>
        <w:t>“Any doubt as to whether or not [to disclose] should be resolved in favor of disclosure.”  Canon II</w:t>
      </w:r>
      <w:r w:rsidR="004501A3">
        <w:t xml:space="preserve"> </w:t>
      </w:r>
      <w:r>
        <w:t>(D).</w:t>
      </w:r>
    </w:p>
    <w:p w:rsidR="007C6AE7" w:rsidRDefault="007C6AE7" w:rsidP="00753475">
      <w:pPr>
        <w:pStyle w:val="ListParagraph"/>
        <w:numPr>
          <w:ilvl w:val="2"/>
          <w:numId w:val="1"/>
        </w:numPr>
      </w:pPr>
      <w:r>
        <w:t>Disclosure required of party-appointed arbitrators who are presumed neutral.  Canon IX(A).</w:t>
      </w:r>
    </w:p>
    <w:p w:rsidR="007C6AE7" w:rsidRDefault="007C6AE7" w:rsidP="00DF1481">
      <w:pPr>
        <w:pStyle w:val="ListParagraph"/>
        <w:numPr>
          <w:ilvl w:val="2"/>
          <w:numId w:val="1"/>
        </w:numPr>
      </w:pPr>
      <w:r>
        <w:t>Disclosure required of party-appointed arbitrators who are deemed non-neutral.  Canon X(B).</w:t>
      </w:r>
    </w:p>
    <w:p w:rsidR="004901E1" w:rsidRPr="001601A9" w:rsidRDefault="004901E1" w:rsidP="004901E1">
      <w:pPr>
        <w:pStyle w:val="ListParagraph"/>
        <w:ind w:left="2160"/>
      </w:pPr>
    </w:p>
    <w:p w:rsidR="00024CFE" w:rsidRDefault="00024CFE" w:rsidP="007D45D2">
      <w:pPr>
        <w:pStyle w:val="ListParagraph"/>
        <w:numPr>
          <w:ilvl w:val="1"/>
          <w:numId w:val="1"/>
        </w:numPr>
      </w:pPr>
      <w:r>
        <w:t xml:space="preserve">ALHA Rules have adopted the </w:t>
      </w:r>
      <w:r w:rsidRPr="001601A9">
        <w:t>Code of Ethics for Arbitrators in Commercial Disputes</w:t>
      </w:r>
      <w:r w:rsidR="00D7242C">
        <w:t>.  AHLA Rule</w:t>
      </w:r>
      <w:r>
        <w:t xml:space="preserve"> 4.1(b)</w:t>
      </w:r>
      <w:r w:rsidR="004901E1">
        <w:t>.</w:t>
      </w:r>
    </w:p>
    <w:p w:rsidR="004901E1" w:rsidRDefault="004901E1" w:rsidP="004901E1">
      <w:pPr>
        <w:pStyle w:val="ListParagraph"/>
        <w:ind w:left="1440"/>
      </w:pPr>
    </w:p>
    <w:p w:rsidR="007D45D2" w:rsidRDefault="007D45D2" w:rsidP="007D45D2">
      <w:pPr>
        <w:pStyle w:val="ListParagraph"/>
        <w:numPr>
          <w:ilvl w:val="1"/>
          <w:numId w:val="1"/>
        </w:numPr>
      </w:pPr>
      <w:r w:rsidRPr="001601A9">
        <w:t>CPR’s Model</w:t>
      </w:r>
      <w:r w:rsidR="004501A3">
        <w:t xml:space="preserve"> Rule for the Lawyer as Third-Party Neutral (“Proposed New Model Rule of Professional Conduct,” Rule 4.5 (“The Lawyer as Third-Party Neutral”)</w:t>
      </w:r>
      <w:r w:rsidRPr="001601A9">
        <w:t>.</w:t>
      </w:r>
    </w:p>
    <w:p w:rsidR="004501A3" w:rsidRDefault="004501A3" w:rsidP="004501A3">
      <w:pPr>
        <w:pStyle w:val="ListParagraph"/>
      </w:pPr>
    </w:p>
    <w:p w:rsidR="004501A3" w:rsidRDefault="004501A3" w:rsidP="004501A3">
      <w:pPr>
        <w:pStyle w:val="ListParagraph"/>
        <w:numPr>
          <w:ilvl w:val="2"/>
          <w:numId w:val="1"/>
        </w:numPr>
      </w:pPr>
      <w:r>
        <w:t>Rule 4.5.3 (“Impartiality”).</w:t>
      </w:r>
    </w:p>
    <w:p w:rsidR="00A05714" w:rsidRDefault="00A05714" w:rsidP="00A05714">
      <w:pPr>
        <w:pStyle w:val="ListParagraph"/>
        <w:ind w:left="2160"/>
      </w:pPr>
    </w:p>
    <w:p w:rsidR="004501A3" w:rsidRDefault="004501A3" w:rsidP="004501A3">
      <w:pPr>
        <w:pStyle w:val="ListParagraph"/>
        <w:numPr>
          <w:ilvl w:val="2"/>
          <w:numId w:val="1"/>
        </w:numPr>
      </w:pPr>
      <w:r>
        <w:t xml:space="preserve">Rule 4.5.3(b)(1) requires disclosure by the arbitrator </w:t>
      </w:r>
      <w:r w:rsidR="00D63A11">
        <w:t xml:space="preserve">“to the parties all circumstances, reasonably known to the lawyer, why the lawyer might not be perceived to be impartial,” </w:t>
      </w:r>
      <w:r>
        <w:t>with detailed listing of matters to be disclosed.</w:t>
      </w:r>
    </w:p>
    <w:p w:rsidR="00A05714" w:rsidRDefault="00A05714" w:rsidP="00A05714">
      <w:pPr>
        <w:pStyle w:val="ListParagraph"/>
        <w:numPr>
          <w:ilvl w:val="3"/>
          <w:numId w:val="1"/>
        </w:numPr>
      </w:pPr>
      <w:r>
        <w:t>“(i) any financial or personal interest in the outcome,”</w:t>
      </w:r>
    </w:p>
    <w:p w:rsidR="00A05714" w:rsidRDefault="00A05714" w:rsidP="00A05714">
      <w:pPr>
        <w:pStyle w:val="ListParagraph"/>
        <w:numPr>
          <w:ilvl w:val="3"/>
          <w:numId w:val="1"/>
        </w:numPr>
      </w:pPr>
      <w:r>
        <w:t>“(ii) any existing or past financial, business, professional, family or social relationship with any of the parties, including, but not limited to any prior representation of any of the parties, their counsel and witnesses, or service as an ADR neutral for any of the parties,”</w:t>
      </w:r>
    </w:p>
    <w:p w:rsidR="00A05714" w:rsidRDefault="00A05714" w:rsidP="00A05714">
      <w:pPr>
        <w:pStyle w:val="ListParagraph"/>
        <w:numPr>
          <w:ilvl w:val="3"/>
          <w:numId w:val="1"/>
        </w:numPr>
      </w:pPr>
      <w:r>
        <w:t>“(iii) any other source of bias or prejudice concerning a person or institution which is likely to affect impartiality or which might reasonably create an appearance of partiality or bias, and”</w:t>
      </w:r>
    </w:p>
    <w:p w:rsidR="00A05714" w:rsidRDefault="00A05714" w:rsidP="00A05714">
      <w:pPr>
        <w:pStyle w:val="ListParagraph"/>
        <w:numPr>
          <w:ilvl w:val="3"/>
          <w:numId w:val="1"/>
        </w:numPr>
      </w:pPr>
      <w:r>
        <w:t>“(iv) any other disclosures required of the lawyer by law or contract.”</w:t>
      </w:r>
    </w:p>
    <w:p w:rsidR="00A05714" w:rsidRDefault="00A05714" w:rsidP="00A05714">
      <w:pPr>
        <w:pStyle w:val="ListParagraph"/>
        <w:ind w:left="2880"/>
      </w:pPr>
    </w:p>
    <w:p w:rsidR="004501A3" w:rsidRDefault="004501A3" w:rsidP="004501A3">
      <w:pPr>
        <w:pStyle w:val="ListParagraph"/>
        <w:numPr>
          <w:ilvl w:val="2"/>
          <w:numId w:val="1"/>
        </w:numPr>
      </w:pPr>
      <w:r>
        <w:t>Rule 4.5.3(c):  “All disclosures under (b) extend to those of the lawyer, members of his or her immediate family, his or her current employer, partners or business associates.”</w:t>
      </w:r>
    </w:p>
    <w:p w:rsidR="004901E1" w:rsidRPr="001601A9" w:rsidRDefault="004901E1" w:rsidP="004901E1">
      <w:pPr>
        <w:pStyle w:val="ListParagraph"/>
        <w:ind w:left="1440"/>
      </w:pPr>
    </w:p>
    <w:p w:rsidR="004901E1" w:rsidRPr="000533E8" w:rsidRDefault="004901E1" w:rsidP="004901E1">
      <w:pPr>
        <w:pStyle w:val="ListParagraph"/>
        <w:ind w:left="2160"/>
        <w:rPr>
          <w:rStyle w:val="Strong"/>
          <w:bCs w:val="0"/>
        </w:rPr>
      </w:pPr>
    </w:p>
    <w:p w:rsidR="000533E8" w:rsidRPr="004901E1" w:rsidRDefault="000533E8" w:rsidP="000533E8">
      <w:pPr>
        <w:pStyle w:val="ListParagraph"/>
        <w:numPr>
          <w:ilvl w:val="1"/>
          <w:numId w:val="1"/>
        </w:numPr>
        <w:rPr>
          <w:rStyle w:val="Strong"/>
          <w:bCs w:val="0"/>
        </w:rPr>
      </w:pPr>
      <w:r>
        <w:rPr>
          <w:rStyle w:val="Strong"/>
          <w:b w:val="0"/>
          <w:shd w:val="clear" w:color="auto" w:fill="FFFFFF"/>
        </w:rPr>
        <w:t xml:space="preserve">California Ethics Standards for Neutral Arbitrators in Contractual Arbitration </w:t>
      </w:r>
      <w:r w:rsidR="00024CFE">
        <w:rPr>
          <w:rStyle w:val="Strong"/>
          <w:b w:val="0"/>
          <w:shd w:val="clear" w:color="auto" w:fill="FFFFFF"/>
        </w:rPr>
        <w:t>(</w:t>
      </w:r>
      <w:hyperlink r:id="rId9" w:history="1">
        <w:r w:rsidR="004901E1" w:rsidRPr="00BF41A5">
          <w:rPr>
            <w:rStyle w:val="Hyperlink"/>
          </w:rPr>
          <w:t>https://www.courts.ca.gov/documents/ethics_standards_neutral_arbitrators.pdf</w:t>
        </w:r>
        <w:r w:rsidR="004901E1" w:rsidRPr="00BF41A5">
          <w:rPr>
            <w:rStyle w:val="Hyperlink"/>
            <w:shd w:val="clear" w:color="auto" w:fill="FFFFFF"/>
          </w:rPr>
          <w:t>)/</w:t>
        </w:r>
      </w:hyperlink>
    </w:p>
    <w:p w:rsidR="004901E1" w:rsidRPr="000533E8" w:rsidRDefault="004901E1" w:rsidP="004901E1">
      <w:pPr>
        <w:pStyle w:val="ListParagraph"/>
        <w:ind w:left="1440"/>
        <w:rPr>
          <w:rStyle w:val="Strong"/>
          <w:bCs w:val="0"/>
        </w:rPr>
      </w:pPr>
    </w:p>
    <w:p w:rsidR="000533E8" w:rsidRPr="00024CFE" w:rsidRDefault="000533E8" w:rsidP="000533E8">
      <w:pPr>
        <w:pStyle w:val="ListParagraph"/>
        <w:numPr>
          <w:ilvl w:val="2"/>
          <w:numId w:val="1"/>
        </w:numPr>
        <w:rPr>
          <w:rStyle w:val="Strong"/>
          <w:bCs w:val="0"/>
        </w:rPr>
      </w:pPr>
      <w:r>
        <w:rPr>
          <w:rStyle w:val="Strong"/>
          <w:b w:val="0"/>
          <w:shd w:val="clear" w:color="auto" w:fill="FFFFFF"/>
        </w:rPr>
        <w:t>Standard 7</w:t>
      </w:r>
      <w:r w:rsidR="00024CFE">
        <w:rPr>
          <w:rStyle w:val="Strong"/>
          <w:b w:val="0"/>
          <w:shd w:val="clear" w:color="auto" w:fill="FFFFFF"/>
        </w:rPr>
        <w:t>: Disclosures</w:t>
      </w:r>
    </w:p>
    <w:p w:rsidR="00024CFE" w:rsidRPr="00024CFE" w:rsidRDefault="00024CFE" w:rsidP="000533E8">
      <w:pPr>
        <w:pStyle w:val="ListParagraph"/>
        <w:numPr>
          <w:ilvl w:val="2"/>
          <w:numId w:val="1"/>
        </w:numPr>
        <w:rPr>
          <w:rStyle w:val="Strong"/>
          <w:bCs w:val="0"/>
        </w:rPr>
      </w:pPr>
      <w:r>
        <w:rPr>
          <w:rStyle w:val="Strong"/>
          <w:b w:val="0"/>
          <w:shd w:val="clear" w:color="auto" w:fill="FFFFFF"/>
        </w:rPr>
        <w:t>Standard 8: Additional Disclosures in Consumer Arbitrations Administered by a Provider Organization</w:t>
      </w:r>
    </w:p>
    <w:p w:rsidR="00024CFE" w:rsidRPr="00024CFE" w:rsidRDefault="00024CFE" w:rsidP="000533E8">
      <w:pPr>
        <w:pStyle w:val="ListParagraph"/>
        <w:numPr>
          <w:ilvl w:val="2"/>
          <w:numId w:val="1"/>
        </w:numPr>
        <w:rPr>
          <w:rStyle w:val="Strong"/>
          <w:bCs w:val="0"/>
        </w:rPr>
      </w:pPr>
      <w:r>
        <w:rPr>
          <w:rStyle w:val="Strong"/>
          <w:b w:val="0"/>
          <w:shd w:val="clear" w:color="auto" w:fill="FFFFFF"/>
        </w:rPr>
        <w:t xml:space="preserve">Standard 9: Arbitrators’ Duty to Inform Themselves About Matters to be Disclosed </w:t>
      </w:r>
    </w:p>
    <w:p w:rsidR="00024CFE" w:rsidRPr="00FE5094" w:rsidRDefault="00024CFE" w:rsidP="000533E8">
      <w:pPr>
        <w:pStyle w:val="ListParagraph"/>
        <w:numPr>
          <w:ilvl w:val="2"/>
          <w:numId w:val="1"/>
        </w:numPr>
        <w:rPr>
          <w:rStyle w:val="Strong"/>
          <w:bCs w:val="0"/>
        </w:rPr>
      </w:pPr>
      <w:r>
        <w:rPr>
          <w:rStyle w:val="Strong"/>
          <w:b w:val="0"/>
          <w:shd w:val="clear" w:color="auto" w:fill="FFFFFF"/>
        </w:rPr>
        <w:t xml:space="preserve">Standard 10: Disqualification </w:t>
      </w:r>
    </w:p>
    <w:p w:rsidR="00FE5094" w:rsidRPr="001601A9" w:rsidRDefault="00FE5094" w:rsidP="00FE5094">
      <w:pPr>
        <w:pStyle w:val="ListParagraph"/>
        <w:ind w:left="2160"/>
        <w:rPr>
          <w:b/>
        </w:rPr>
      </w:pPr>
    </w:p>
    <w:p w:rsidR="007D45D2" w:rsidRDefault="007D45D2" w:rsidP="007D45D2">
      <w:pPr>
        <w:pStyle w:val="ListParagraph"/>
        <w:numPr>
          <w:ilvl w:val="0"/>
          <w:numId w:val="1"/>
        </w:numPr>
        <w:rPr>
          <w:b/>
        </w:rPr>
      </w:pPr>
      <w:r w:rsidRPr="00DF1481">
        <w:rPr>
          <w:b/>
        </w:rPr>
        <w:lastRenderedPageBreak/>
        <w:t>Arbitrator disclosures are required by numerous arbitration rules promulgated by arbitral institutions.</w:t>
      </w:r>
    </w:p>
    <w:p w:rsidR="004901E1" w:rsidRPr="00DF1481" w:rsidRDefault="004901E1" w:rsidP="004901E1">
      <w:pPr>
        <w:pStyle w:val="ListParagraph"/>
        <w:rPr>
          <w:b/>
        </w:rPr>
      </w:pPr>
    </w:p>
    <w:p w:rsidR="00A66E24" w:rsidRDefault="00A66E24" w:rsidP="007D45D2">
      <w:pPr>
        <w:pStyle w:val="ListParagraph"/>
        <w:numPr>
          <w:ilvl w:val="1"/>
          <w:numId w:val="1"/>
        </w:numPr>
      </w:pPr>
      <w:r w:rsidRPr="001601A9">
        <w:t xml:space="preserve">AHLA Dispute </w:t>
      </w:r>
      <w:r w:rsidR="00C015CE" w:rsidRPr="001601A9">
        <w:t>Resolution</w:t>
      </w:r>
      <w:r w:rsidRPr="001601A9">
        <w:t xml:space="preserve"> Services Rules of Procedure for Arbitration</w:t>
      </w:r>
      <w:r w:rsidR="00D63A11">
        <w:t>.</w:t>
      </w:r>
    </w:p>
    <w:p w:rsidR="00D63A11" w:rsidRPr="001601A9" w:rsidRDefault="00D63A11" w:rsidP="00D63A11">
      <w:pPr>
        <w:pStyle w:val="ListParagraph"/>
        <w:ind w:left="1440"/>
      </w:pPr>
    </w:p>
    <w:p w:rsidR="00D63A11" w:rsidRDefault="00D63A11" w:rsidP="00024CFE">
      <w:pPr>
        <w:pStyle w:val="ListParagraph"/>
        <w:numPr>
          <w:ilvl w:val="2"/>
          <w:numId w:val="1"/>
        </w:numPr>
      </w:pPr>
      <w:r>
        <w:t>R-3.2(e) describes “Ineligible Candidates” for the AHLA “Appointment Process” and states:  “A candidate is ineligible to arbitrate a claim only if it would be unethical or impossible for him or her to do so.”</w:t>
      </w:r>
    </w:p>
    <w:p w:rsidR="00D63A11" w:rsidRDefault="00D63A11" w:rsidP="00D63A11">
      <w:pPr>
        <w:pStyle w:val="ListParagraph"/>
        <w:ind w:left="2160"/>
      </w:pPr>
    </w:p>
    <w:p w:rsidR="00D63A11" w:rsidRDefault="00D63A11" w:rsidP="00024CFE">
      <w:pPr>
        <w:pStyle w:val="ListParagraph"/>
        <w:numPr>
          <w:ilvl w:val="2"/>
          <w:numId w:val="1"/>
        </w:numPr>
      </w:pPr>
      <w:r>
        <w:t>R-3.5 also states:  “All three (3) arbitrators [appointed to a panel] are presumed to be neutral.”</w:t>
      </w:r>
    </w:p>
    <w:p w:rsidR="00D63A11" w:rsidRDefault="00D63A11" w:rsidP="00D63A11">
      <w:pPr>
        <w:pStyle w:val="ListParagraph"/>
        <w:ind w:left="2160"/>
      </w:pPr>
    </w:p>
    <w:p w:rsidR="00024CFE" w:rsidRDefault="00024CFE" w:rsidP="00024CFE">
      <w:pPr>
        <w:pStyle w:val="ListParagraph"/>
        <w:numPr>
          <w:ilvl w:val="2"/>
          <w:numId w:val="1"/>
        </w:numPr>
      </w:pPr>
      <w:r>
        <w:t>R-4.1(b)</w:t>
      </w:r>
      <w:r w:rsidR="00D63A11">
        <w:t xml:space="preserve"> (“Ethics”) states:  “Arbitrators must comply with the Code of Ethics for Arbitrators in Commercial Disputes posted on AHLA’s website.”</w:t>
      </w:r>
      <w:r>
        <w:t xml:space="preserve"> </w:t>
      </w:r>
    </w:p>
    <w:p w:rsidR="00D63A11" w:rsidRDefault="00D63A11" w:rsidP="00D63A11">
      <w:pPr>
        <w:pStyle w:val="ListParagraph"/>
      </w:pPr>
    </w:p>
    <w:p w:rsidR="00A66E24" w:rsidRPr="001601A9" w:rsidRDefault="00A66E24" w:rsidP="00A66E24">
      <w:pPr>
        <w:pStyle w:val="ListParagraph"/>
        <w:numPr>
          <w:ilvl w:val="2"/>
          <w:numId w:val="1"/>
        </w:numPr>
      </w:pPr>
      <w:r w:rsidRPr="001601A9">
        <w:t>R-4.5</w:t>
      </w:r>
      <w:r w:rsidR="0008308A" w:rsidRPr="001601A9">
        <w:t xml:space="preserve"> (</w:t>
      </w:r>
      <w:r w:rsidR="00D63A11">
        <w:t>“</w:t>
      </w:r>
      <w:r w:rsidR="0008308A" w:rsidRPr="001601A9">
        <w:t>Removing an Arbitrator</w:t>
      </w:r>
      <w:r w:rsidR="00D63A11">
        <w:t>”</w:t>
      </w:r>
      <w:r w:rsidR="0008308A" w:rsidRPr="001601A9">
        <w:t>)</w:t>
      </w:r>
      <w:r w:rsidR="00D63A11">
        <w:t xml:space="preserve"> states: “A party who believes an arbitrator is unfit to serve because of a conflict of interest, a mental or physical impairment, or conduct that calls his or her fairness or impartiality into question, may pursue the following options:</w:t>
      </w:r>
      <w:r w:rsidR="00C16781">
        <w:t xml:space="preserve"> [with three subsections on “Unanimous Consent”; “Withdrawal”; and “Removal.”</w:t>
      </w:r>
    </w:p>
    <w:p w:rsidR="00D63A11" w:rsidRPr="001601A9" w:rsidRDefault="00D63A11" w:rsidP="00D63A11">
      <w:pPr>
        <w:pStyle w:val="ListParagraph"/>
        <w:ind w:left="2880"/>
      </w:pPr>
    </w:p>
    <w:p w:rsidR="00A66E24" w:rsidRPr="001601A9" w:rsidRDefault="00A66E24" w:rsidP="00A66E24">
      <w:pPr>
        <w:pStyle w:val="ListParagraph"/>
        <w:numPr>
          <w:ilvl w:val="2"/>
          <w:numId w:val="1"/>
        </w:numPr>
      </w:pPr>
      <w:r w:rsidRPr="001601A9">
        <w:t>R-4.4</w:t>
      </w:r>
      <w:r w:rsidR="0008308A" w:rsidRPr="001601A9">
        <w:t xml:space="preserve"> (Review Board)</w:t>
      </w:r>
    </w:p>
    <w:p w:rsidR="007C6AE7" w:rsidRDefault="0008308A" w:rsidP="00DF1481">
      <w:pPr>
        <w:pStyle w:val="ListParagraph"/>
        <w:numPr>
          <w:ilvl w:val="3"/>
          <w:numId w:val="1"/>
        </w:numPr>
      </w:pPr>
      <w:r w:rsidRPr="001601A9">
        <w:t>The Review Board (RB) and its designated Review Panel(s) will rule on petitions to remove an arbitrator under Rule 4.5</w:t>
      </w:r>
    </w:p>
    <w:p w:rsidR="004901E1" w:rsidRPr="001601A9" w:rsidRDefault="004901E1" w:rsidP="004901E1">
      <w:pPr>
        <w:pStyle w:val="ListParagraph"/>
        <w:ind w:left="2880"/>
      </w:pPr>
    </w:p>
    <w:p w:rsidR="007D45D2" w:rsidRPr="001601A9" w:rsidRDefault="007D45D2" w:rsidP="007D45D2">
      <w:pPr>
        <w:pStyle w:val="ListParagraph"/>
        <w:numPr>
          <w:ilvl w:val="1"/>
          <w:numId w:val="1"/>
        </w:numPr>
      </w:pPr>
      <w:r w:rsidRPr="001601A9">
        <w:t>AAA Commercial Arbitration Rules.</w:t>
      </w:r>
    </w:p>
    <w:p w:rsidR="00A66E24" w:rsidRPr="001601A9" w:rsidRDefault="00C015CE" w:rsidP="00A66E24">
      <w:pPr>
        <w:pStyle w:val="ListParagraph"/>
        <w:numPr>
          <w:ilvl w:val="2"/>
          <w:numId w:val="1"/>
        </w:numPr>
      </w:pPr>
      <w:r w:rsidRPr="001601A9">
        <w:t>R-17</w:t>
      </w:r>
      <w:r w:rsidR="0008308A" w:rsidRPr="001601A9">
        <w:t xml:space="preserve"> Disclosure </w:t>
      </w:r>
    </w:p>
    <w:p w:rsidR="004901E1" w:rsidRDefault="00C015CE" w:rsidP="00DF1481">
      <w:pPr>
        <w:pStyle w:val="ListParagraph"/>
        <w:numPr>
          <w:ilvl w:val="2"/>
          <w:numId w:val="1"/>
        </w:numPr>
      </w:pPr>
      <w:r w:rsidRPr="001601A9">
        <w:t>R-18</w:t>
      </w:r>
      <w:r w:rsidR="0008308A" w:rsidRPr="001601A9">
        <w:t xml:space="preserve"> Disqualification of an Arbitrator</w:t>
      </w:r>
    </w:p>
    <w:p w:rsidR="007C6AE7" w:rsidRPr="001601A9" w:rsidRDefault="0008308A" w:rsidP="004901E1">
      <w:pPr>
        <w:pStyle w:val="ListParagraph"/>
        <w:ind w:left="2160"/>
      </w:pPr>
      <w:r w:rsidRPr="001601A9">
        <w:t xml:space="preserve"> </w:t>
      </w:r>
    </w:p>
    <w:p w:rsidR="007D45D2" w:rsidRPr="001601A9" w:rsidRDefault="007D45D2" w:rsidP="007D45D2">
      <w:pPr>
        <w:pStyle w:val="ListParagraph"/>
        <w:numPr>
          <w:ilvl w:val="1"/>
          <w:numId w:val="1"/>
        </w:numPr>
      </w:pPr>
      <w:r w:rsidRPr="001601A9">
        <w:t>AAA Employment Arbitration Rules.</w:t>
      </w:r>
    </w:p>
    <w:p w:rsidR="00C015CE" w:rsidRPr="001601A9" w:rsidRDefault="00C015CE" w:rsidP="00C015CE">
      <w:pPr>
        <w:pStyle w:val="ListParagraph"/>
        <w:numPr>
          <w:ilvl w:val="2"/>
          <w:numId w:val="1"/>
        </w:numPr>
      </w:pPr>
      <w:r w:rsidRPr="001601A9">
        <w:t>R-15</w:t>
      </w:r>
      <w:r w:rsidR="0008308A" w:rsidRPr="001601A9">
        <w:t xml:space="preserve"> Disclosures </w:t>
      </w:r>
    </w:p>
    <w:p w:rsidR="00C015CE" w:rsidRDefault="00C015CE" w:rsidP="00DF1481">
      <w:pPr>
        <w:pStyle w:val="ListParagraph"/>
        <w:numPr>
          <w:ilvl w:val="2"/>
          <w:numId w:val="1"/>
        </w:numPr>
      </w:pPr>
      <w:r w:rsidRPr="001601A9">
        <w:t>R-16</w:t>
      </w:r>
      <w:r w:rsidR="0008308A" w:rsidRPr="001601A9">
        <w:t xml:space="preserve"> Disqualification of an Arbitrator </w:t>
      </w:r>
    </w:p>
    <w:p w:rsidR="004901E1" w:rsidRPr="001601A9" w:rsidRDefault="004901E1" w:rsidP="004901E1">
      <w:pPr>
        <w:pStyle w:val="ListParagraph"/>
        <w:ind w:left="2160"/>
      </w:pPr>
    </w:p>
    <w:p w:rsidR="007D45D2" w:rsidRPr="001601A9" w:rsidRDefault="007D45D2" w:rsidP="007D45D2">
      <w:pPr>
        <w:pStyle w:val="ListParagraph"/>
        <w:numPr>
          <w:ilvl w:val="1"/>
          <w:numId w:val="1"/>
        </w:numPr>
      </w:pPr>
      <w:r w:rsidRPr="001601A9">
        <w:t>JAMS Comprehensive Arbitration Rules.</w:t>
      </w:r>
    </w:p>
    <w:p w:rsidR="004901E1" w:rsidRDefault="00C015CE" w:rsidP="00DF1481">
      <w:pPr>
        <w:pStyle w:val="ListParagraph"/>
        <w:numPr>
          <w:ilvl w:val="2"/>
          <w:numId w:val="1"/>
        </w:numPr>
      </w:pPr>
      <w:r w:rsidRPr="001601A9">
        <w:t>R-15(h)</w:t>
      </w:r>
      <w:r w:rsidR="0008308A" w:rsidRPr="001601A9">
        <w:t>-</w:t>
      </w:r>
      <w:r w:rsidRPr="001601A9">
        <w:t>(i)</w:t>
      </w:r>
      <w:r w:rsidR="0008308A" w:rsidRPr="001601A9">
        <w:t xml:space="preserve"> Disclosures and challenges of the Arbitrator</w:t>
      </w:r>
    </w:p>
    <w:p w:rsidR="00C015CE" w:rsidRPr="001601A9" w:rsidRDefault="0008308A" w:rsidP="004901E1">
      <w:pPr>
        <w:pStyle w:val="ListParagraph"/>
        <w:ind w:left="2160"/>
      </w:pPr>
      <w:r w:rsidRPr="001601A9">
        <w:t xml:space="preserve"> </w:t>
      </w:r>
    </w:p>
    <w:p w:rsidR="00024CFE" w:rsidRDefault="007D45D2" w:rsidP="007D45D2">
      <w:pPr>
        <w:pStyle w:val="ListParagraph"/>
        <w:numPr>
          <w:ilvl w:val="1"/>
          <w:numId w:val="1"/>
        </w:numPr>
      </w:pPr>
      <w:r w:rsidRPr="001601A9">
        <w:t>C</w:t>
      </w:r>
      <w:r w:rsidR="00024CFE">
        <w:t>PR Administered Arbitration Rules (effective date March 1, 2019)</w:t>
      </w:r>
    </w:p>
    <w:p w:rsidR="00DD2269" w:rsidRDefault="00DD2269" w:rsidP="00024CFE">
      <w:pPr>
        <w:pStyle w:val="ListParagraph"/>
        <w:numPr>
          <w:ilvl w:val="2"/>
          <w:numId w:val="1"/>
        </w:numPr>
      </w:pPr>
      <w:r>
        <w:t>R-7.3 General disclosures for arbitrators</w:t>
      </w:r>
    </w:p>
    <w:p w:rsidR="004901E1" w:rsidRDefault="004901E1" w:rsidP="004901E1">
      <w:pPr>
        <w:pStyle w:val="ListParagraph"/>
        <w:ind w:left="2160"/>
      </w:pPr>
    </w:p>
    <w:p w:rsidR="007D45D2" w:rsidRDefault="00024CFE" w:rsidP="007D45D2">
      <w:pPr>
        <w:pStyle w:val="ListParagraph"/>
        <w:numPr>
          <w:ilvl w:val="1"/>
          <w:numId w:val="1"/>
        </w:numPr>
      </w:pPr>
      <w:r>
        <w:t xml:space="preserve">CPR </w:t>
      </w:r>
      <w:r w:rsidR="007D45D2" w:rsidRPr="001601A9">
        <w:t xml:space="preserve">Non-Administered Arbitration </w:t>
      </w:r>
      <w:r>
        <w:t xml:space="preserve">Rules (effective date </w:t>
      </w:r>
      <w:r w:rsidR="008E47E8">
        <w:t>March 1, 2018)</w:t>
      </w:r>
    </w:p>
    <w:p w:rsidR="008E47E8" w:rsidRDefault="008E47E8" w:rsidP="008E47E8">
      <w:pPr>
        <w:pStyle w:val="ListParagraph"/>
        <w:numPr>
          <w:ilvl w:val="2"/>
          <w:numId w:val="1"/>
        </w:numPr>
      </w:pPr>
      <w:r>
        <w:t xml:space="preserve">R-7.3 </w:t>
      </w:r>
      <w:r w:rsidR="00DD2269">
        <w:t>General disclosures for arbitrators</w:t>
      </w:r>
    </w:p>
    <w:p w:rsidR="00FE5094" w:rsidRPr="001601A9" w:rsidRDefault="00FE5094" w:rsidP="00FE5094">
      <w:pPr>
        <w:pStyle w:val="ListParagraph"/>
        <w:ind w:left="1440"/>
      </w:pPr>
    </w:p>
    <w:p w:rsidR="00FE5094" w:rsidRDefault="00A66E24" w:rsidP="008E47E8">
      <w:pPr>
        <w:pStyle w:val="ListParagraph"/>
        <w:numPr>
          <w:ilvl w:val="0"/>
          <w:numId w:val="1"/>
        </w:numPr>
        <w:rPr>
          <w:b/>
        </w:rPr>
      </w:pPr>
      <w:r w:rsidRPr="00DF1481">
        <w:rPr>
          <w:b/>
        </w:rPr>
        <w:t>Disclosures required by the</w:t>
      </w:r>
      <w:r w:rsidR="00FE5094" w:rsidRPr="00DF1481">
        <w:rPr>
          <w:b/>
        </w:rPr>
        <w:t xml:space="preserve"> parties’ arbitration agreement.</w:t>
      </w:r>
    </w:p>
    <w:p w:rsidR="00BD28E6" w:rsidRDefault="00BD28E6" w:rsidP="00BD28E6">
      <w:pPr>
        <w:pStyle w:val="ListParagraph"/>
        <w:rPr>
          <w:b/>
        </w:rPr>
      </w:pPr>
    </w:p>
    <w:p w:rsidR="00BD28E6" w:rsidRPr="00BD28E6" w:rsidRDefault="00BD28E6" w:rsidP="00BD28E6">
      <w:pPr>
        <w:pStyle w:val="ListParagraph"/>
        <w:numPr>
          <w:ilvl w:val="1"/>
          <w:numId w:val="1"/>
        </w:numPr>
      </w:pPr>
      <w:r w:rsidRPr="00BD28E6">
        <w:lastRenderedPageBreak/>
        <w:t xml:space="preserve">Example clause: “The neutral arbitrator shall be governed by the </w:t>
      </w:r>
      <w:r w:rsidR="00C16781">
        <w:t>AAA/</w:t>
      </w:r>
      <w:r w:rsidRPr="00BD28E6">
        <w:t>ABA/AHLA Code of Ethics for Arbitrators in Commercial Disputes (effective M</w:t>
      </w:r>
      <w:r w:rsidR="00C16781">
        <w:t>arch 1, 2004</w:t>
      </w:r>
      <w:r w:rsidRPr="00BD28E6">
        <w:t>).”</w:t>
      </w:r>
    </w:p>
    <w:p w:rsidR="00FB7F45" w:rsidRPr="008E47E8" w:rsidRDefault="00FB7F45" w:rsidP="00FB7F45">
      <w:pPr>
        <w:pStyle w:val="ListParagraph"/>
        <w:rPr>
          <w:b/>
        </w:rPr>
      </w:pPr>
    </w:p>
    <w:p w:rsidR="007D45D2" w:rsidRDefault="007D45D2" w:rsidP="007D45D2">
      <w:pPr>
        <w:pStyle w:val="ListParagraph"/>
        <w:numPr>
          <w:ilvl w:val="0"/>
          <w:numId w:val="1"/>
        </w:numPr>
        <w:rPr>
          <w:b/>
        </w:rPr>
      </w:pPr>
      <w:r w:rsidRPr="00DF1481">
        <w:rPr>
          <w:b/>
        </w:rPr>
        <w:t>Arbitrator disclosures and “evident partiality” as applied by the various federal circuits.</w:t>
      </w:r>
    </w:p>
    <w:p w:rsidR="004901E1" w:rsidRPr="00304765" w:rsidRDefault="004901E1" w:rsidP="00304765">
      <w:pPr>
        <w:rPr>
          <w:b/>
        </w:rPr>
      </w:pPr>
    </w:p>
    <w:p w:rsidR="00C015CE" w:rsidRDefault="00C015CE" w:rsidP="00C015CE">
      <w:pPr>
        <w:pStyle w:val="ListParagraph"/>
        <w:numPr>
          <w:ilvl w:val="1"/>
          <w:numId w:val="1"/>
        </w:numPr>
      </w:pPr>
      <w:r w:rsidRPr="001601A9">
        <w:t>9 U.S.C. § 10(a)(2) grounds for vacatur</w:t>
      </w:r>
      <w:r w:rsidR="00FE5094">
        <w:t>.</w:t>
      </w:r>
      <w:r w:rsidRPr="001601A9">
        <w:t xml:space="preserve"> </w:t>
      </w:r>
    </w:p>
    <w:p w:rsidR="004901E1" w:rsidRDefault="004901E1" w:rsidP="004901E1">
      <w:pPr>
        <w:pStyle w:val="ListParagraph"/>
        <w:ind w:left="1440"/>
      </w:pPr>
    </w:p>
    <w:p w:rsidR="004901E1" w:rsidRDefault="008E47E8" w:rsidP="00304765">
      <w:pPr>
        <w:pStyle w:val="ListParagraph"/>
        <w:numPr>
          <w:ilvl w:val="1"/>
          <w:numId w:val="1"/>
        </w:numPr>
      </w:pPr>
      <w:r>
        <w:t>Circuit Split on Evident Partiality</w:t>
      </w:r>
      <w:r w:rsidR="004901E1">
        <w:t>.</w:t>
      </w:r>
    </w:p>
    <w:p w:rsidR="008E47E8" w:rsidRDefault="008E47E8" w:rsidP="004901E1">
      <w:pPr>
        <w:pStyle w:val="ListParagraph"/>
        <w:ind w:left="1440"/>
      </w:pPr>
      <w:r>
        <w:t xml:space="preserve"> </w:t>
      </w:r>
    </w:p>
    <w:p w:rsidR="008E47E8" w:rsidRDefault="008E47E8" w:rsidP="008E47E8">
      <w:pPr>
        <w:pStyle w:val="ListParagraph"/>
        <w:numPr>
          <w:ilvl w:val="2"/>
          <w:numId w:val="1"/>
        </w:numPr>
      </w:pPr>
      <w:r>
        <w:t>“A reasonable impression of partiality”</w:t>
      </w:r>
    </w:p>
    <w:p w:rsidR="008E47E8" w:rsidRDefault="008E47E8" w:rsidP="008E47E8">
      <w:pPr>
        <w:pStyle w:val="ListParagraph"/>
        <w:numPr>
          <w:ilvl w:val="3"/>
          <w:numId w:val="1"/>
        </w:numPr>
      </w:pPr>
      <w:r>
        <w:t>5</w:t>
      </w:r>
      <w:r w:rsidRPr="008E47E8">
        <w:rPr>
          <w:vertAlign w:val="superscript"/>
        </w:rPr>
        <w:t>th</w:t>
      </w:r>
      <w:r>
        <w:t>, 8</w:t>
      </w:r>
      <w:r w:rsidRPr="008E47E8">
        <w:rPr>
          <w:vertAlign w:val="superscript"/>
        </w:rPr>
        <w:t>th</w:t>
      </w:r>
      <w:r>
        <w:t>, 9</w:t>
      </w:r>
      <w:r w:rsidRPr="008E47E8">
        <w:rPr>
          <w:vertAlign w:val="superscript"/>
        </w:rPr>
        <w:t>th</w:t>
      </w:r>
      <w:r>
        <w:t>, 10</w:t>
      </w:r>
      <w:r w:rsidRPr="008E47E8">
        <w:rPr>
          <w:vertAlign w:val="superscript"/>
        </w:rPr>
        <w:t>th</w:t>
      </w:r>
      <w:r>
        <w:t>, 11</w:t>
      </w:r>
      <w:r w:rsidRPr="008E47E8">
        <w:rPr>
          <w:vertAlign w:val="superscript"/>
        </w:rPr>
        <w:t>th</w:t>
      </w:r>
      <w:r w:rsidR="00E43104">
        <w:rPr>
          <w:vertAlign w:val="superscript"/>
        </w:rPr>
        <w:t xml:space="preserve">  </w:t>
      </w:r>
      <w:r w:rsidR="00E43104">
        <w:t>federal circuit courts</w:t>
      </w:r>
      <w:r w:rsidR="004901E1">
        <w:t>, and the state of Texas.</w:t>
      </w:r>
    </w:p>
    <w:p w:rsidR="004901E1" w:rsidRDefault="004901E1" w:rsidP="004901E1">
      <w:pPr>
        <w:pStyle w:val="ListParagraph"/>
        <w:ind w:left="2880"/>
      </w:pPr>
    </w:p>
    <w:p w:rsidR="008E47E8" w:rsidRDefault="008E47E8" w:rsidP="008E47E8">
      <w:pPr>
        <w:pStyle w:val="ListParagraph"/>
        <w:numPr>
          <w:ilvl w:val="2"/>
          <w:numId w:val="1"/>
        </w:numPr>
      </w:pPr>
      <w:r>
        <w:t xml:space="preserve">“A reasonable person would have </w:t>
      </w:r>
      <w:r w:rsidR="00E43104">
        <w:t xml:space="preserve">to </w:t>
      </w:r>
      <w:r>
        <w:t>conclude that an arbitrator was partial to one party to an arbitration.”</w:t>
      </w:r>
    </w:p>
    <w:p w:rsidR="008E47E8" w:rsidRDefault="008E47E8" w:rsidP="008E47E8">
      <w:pPr>
        <w:pStyle w:val="ListParagraph"/>
        <w:numPr>
          <w:ilvl w:val="3"/>
          <w:numId w:val="1"/>
        </w:numPr>
      </w:pPr>
      <w:r>
        <w:t>1</w:t>
      </w:r>
      <w:r>
        <w:rPr>
          <w:vertAlign w:val="superscript"/>
        </w:rPr>
        <w:t xml:space="preserve">st, </w:t>
      </w:r>
      <w:r>
        <w:t>2</w:t>
      </w:r>
      <w:r w:rsidRPr="008E47E8">
        <w:rPr>
          <w:vertAlign w:val="superscript"/>
        </w:rPr>
        <w:t>nd</w:t>
      </w:r>
      <w:r>
        <w:t>, 3</w:t>
      </w:r>
      <w:r w:rsidRPr="008E47E8">
        <w:rPr>
          <w:vertAlign w:val="superscript"/>
        </w:rPr>
        <w:t>rd</w:t>
      </w:r>
      <w:r>
        <w:t>, 4</w:t>
      </w:r>
      <w:r w:rsidRPr="008E47E8">
        <w:rPr>
          <w:vertAlign w:val="superscript"/>
        </w:rPr>
        <w:t>th</w:t>
      </w:r>
      <w:r>
        <w:t>, 6</w:t>
      </w:r>
      <w:r w:rsidRPr="008E47E8">
        <w:rPr>
          <w:vertAlign w:val="superscript"/>
        </w:rPr>
        <w:t>th</w:t>
      </w:r>
      <w:r>
        <w:t>, 7</w:t>
      </w:r>
      <w:r w:rsidRPr="008E47E8">
        <w:rPr>
          <w:vertAlign w:val="superscript"/>
        </w:rPr>
        <w:t>th</w:t>
      </w:r>
      <w:r>
        <w:t xml:space="preserve"> </w:t>
      </w:r>
      <w:r w:rsidR="00E43104">
        <w:t>federal circuit courts.</w:t>
      </w:r>
    </w:p>
    <w:p w:rsidR="00E43104" w:rsidRDefault="00E43104" w:rsidP="00E43104">
      <w:pPr>
        <w:pStyle w:val="ListParagraph"/>
        <w:ind w:left="2880"/>
      </w:pPr>
    </w:p>
    <w:p w:rsidR="00FE5094" w:rsidRDefault="008E47E8" w:rsidP="008E47E8">
      <w:pPr>
        <w:pStyle w:val="ListParagraph"/>
        <w:numPr>
          <w:ilvl w:val="2"/>
          <w:numId w:val="1"/>
        </w:numPr>
      </w:pPr>
      <w:r>
        <w:t xml:space="preserve">DC Circuit has discussed the issue but has so far refused to decide </w:t>
      </w:r>
      <w:r w:rsidR="00E43104">
        <w:t>what constitutes “evident partiality.”</w:t>
      </w:r>
      <w:r>
        <w:t xml:space="preserve"> </w:t>
      </w:r>
    </w:p>
    <w:p w:rsidR="00FB7F45" w:rsidRPr="001601A9" w:rsidRDefault="00FB7F45" w:rsidP="00FB7F45">
      <w:pPr>
        <w:pStyle w:val="ListParagraph"/>
        <w:ind w:left="2160"/>
      </w:pPr>
    </w:p>
    <w:p w:rsidR="007D45D2" w:rsidRDefault="007D45D2" w:rsidP="007D45D2">
      <w:pPr>
        <w:pStyle w:val="ListParagraph"/>
        <w:numPr>
          <w:ilvl w:val="0"/>
          <w:numId w:val="1"/>
        </w:numPr>
        <w:rPr>
          <w:b/>
        </w:rPr>
      </w:pPr>
      <w:r w:rsidRPr="00DF1481">
        <w:rPr>
          <w:b/>
        </w:rPr>
        <w:t>Arbitrator disclosure methods and practices.</w:t>
      </w:r>
    </w:p>
    <w:p w:rsidR="00E43104" w:rsidRPr="00DF1481" w:rsidRDefault="00E43104" w:rsidP="00E43104">
      <w:pPr>
        <w:pStyle w:val="ListParagraph"/>
        <w:rPr>
          <w:b/>
        </w:rPr>
      </w:pPr>
    </w:p>
    <w:p w:rsidR="007D45D2" w:rsidRDefault="007D45D2" w:rsidP="007D45D2">
      <w:pPr>
        <w:pStyle w:val="ListParagraph"/>
        <w:numPr>
          <w:ilvl w:val="1"/>
          <w:numId w:val="1"/>
        </w:numPr>
      </w:pPr>
      <w:r w:rsidRPr="001601A9">
        <w:t>Lists and spreadsheets.</w:t>
      </w:r>
    </w:p>
    <w:p w:rsidR="00C16781" w:rsidRDefault="00C16781" w:rsidP="00C16781">
      <w:pPr>
        <w:pStyle w:val="ListParagraph"/>
        <w:ind w:left="1440"/>
      </w:pPr>
    </w:p>
    <w:p w:rsidR="00E43104" w:rsidRDefault="008E47E8" w:rsidP="008E47E8">
      <w:pPr>
        <w:pStyle w:val="ListParagraph"/>
        <w:numPr>
          <w:ilvl w:val="2"/>
          <w:numId w:val="1"/>
        </w:numPr>
      </w:pPr>
      <w:r w:rsidRPr="00F80EBD">
        <w:t>Headings for arbitration list</w:t>
      </w:r>
      <w:r w:rsidR="00C16781">
        <w:t xml:space="preserve"> spreadsheet.</w:t>
      </w:r>
    </w:p>
    <w:p w:rsidR="00C16781" w:rsidRDefault="00C16781" w:rsidP="008E47E8">
      <w:pPr>
        <w:pStyle w:val="ListParagraph"/>
        <w:numPr>
          <w:ilvl w:val="2"/>
          <w:numId w:val="1"/>
        </w:numPr>
      </w:pPr>
      <w:r>
        <w:t>The arbitrator has a duty to investigate for disclosures.</w:t>
      </w:r>
    </w:p>
    <w:p w:rsidR="008E47E8" w:rsidRPr="00F80EBD" w:rsidRDefault="008E47E8" w:rsidP="00E43104">
      <w:pPr>
        <w:pStyle w:val="ListParagraph"/>
        <w:ind w:left="2160"/>
      </w:pPr>
      <w:r w:rsidRPr="00F80EBD">
        <w:t xml:space="preserve"> </w:t>
      </w:r>
    </w:p>
    <w:p w:rsidR="00E43104" w:rsidRDefault="007D45D2" w:rsidP="007D45D2">
      <w:pPr>
        <w:pStyle w:val="ListParagraph"/>
        <w:numPr>
          <w:ilvl w:val="1"/>
          <w:numId w:val="1"/>
        </w:numPr>
      </w:pPr>
      <w:r w:rsidRPr="00F80EBD">
        <w:t>Duty and</w:t>
      </w:r>
      <w:r w:rsidR="008E47E8" w:rsidRPr="00F80EBD">
        <w:t xml:space="preserve"> continuing duty to investigate for conflicts and disclosures</w:t>
      </w:r>
      <w:r w:rsidR="00E43104">
        <w:t>.</w:t>
      </w:r>
    </w:p>
    <w:p w:rsidR="007D45D2" w:rsidRPr="00F80EBD" w:rsidRDefault="008E47E8" w:rsidP="00E43104">
      <w:pPr>
        <w:pStyle w:val="ListParagraph"/>
        <w:ind w:left="1440"/>
      </w:pPr>
      <w:r w:rsidRPr="00F80EBD">
        <w:t xml:space="preserve"> </w:t>
      </w:r>
    </w:p>
    <w:p w:rsidR="00F80EBD" w:rsidRDefault="008E47E8" w:rsidP="00F80EBD">
      <w:pPr>
        <w:pStyle w:val="ListParagraph"/>
        <w:numPr>
          <w:ilvl w:val="2"/>
          <w:numId w:val="1"/>
        </w:numPr>
      </w:pPr>
      <w:r w:rsidRPr="00F80EBD">
        <w:t>Code of Ethics for Arbitrators in Commercial Disputes</w:t>
      </w:r>
    </w:p>
    <w:p w:rsidR="00F80EBD" w:rsidRDefault="00F80EBD" w:rsidP="00F80EBD">
      <w:pPr>
        <w:pStyle w:val="ListParagraph"/>
        <w:numPr>
          <w:ilvl w:val="3"/>
          <w:numId w:val="1"/>
        </w:numPr>
      </w:pPr>
      <w:r w:rsidRPr="00F80EBD">
        <w:t>Canon II</w:t>
      </w:r>
      <w:r w:rsidR="00C16781">
        <w:t xml:space="preserve"> </w:t>
      </w:r>
      <w:r w:rsidRPr="00F80EBD">
        <w:t>(C) “The obligation</w:t>
      </w:r>
      <w:r>
        <w:t xml:space="preserve"> to disclose interests or relationships . . . is a continuing duty which requires a person who accepts appointment as an arbitrator to disclose, as soon as practicable, at any stage of the arbitration, any such interests or relationships which may arise, or which are recalled or discovered.”</w:t>
      </w:r>
    </w:p>
    <w:p w:rsidR="00E43104" w:rsidRPr="00F80EBD" w:rsidRDefault="00E43104" w:rsidP="00E43104">
      <w:pPr>
        <w:pStyle w:val="ListParagraph"/>
        <w:ind w:left="2880"/>
      </w:pPr>
    </w:p>
    <w:p w:rsidR="008E47E8" w:rsidRPr="00F80EBD" w:rsidRDefault="008E47E8" w:rsidP="008E47E8">
      <w:pPr>
        <w:pStyle w:val="ListParagraph"/>
        <w:numPr>
          <w:ilvl w:val="2"/>
          <w:numId w:val="1"/>
        </w:numPr>
      </w:pPr>
      <w:r w:rsidRPr="00F80EBD">
        <w:t xml:space="preserve">AAA Commercial Rules. </w:t>
      </w:r>
    </w:p>
    <w:p w:rsidR="008E47E8" w:rsidRDefault="008E47E8" w:rsidP="008E47E8">
      <w:pPr>
        <w:pStyle w:val="ListParagraph"/>
        <w:numPr>
          <w:ilvl w:val="3"/>
          <w:numId w:val="1"/>
        </w:numPr>
      </w:pPr>
      <w:r w:rsidRPr="00F80EBD">
        <w:t>R-17(a) “</w:t>
      </w:r>
      <w:r w:rsidR="00F80EBD" w:rsidRPr="00F80EBD">
        <w:t>Such obligation shall remain in effect throughout the arbitration.</w:t>
      </w:r>
      <w:r w:rsidRPr="00F80EBD">
        <w:t>”</w:t>
      </w:r>
    </w:p>
    <w:p w:rsidR="00E43104" w:rsidRPr="00F80EBD" w:rsidRDefault="00E43104" w:rsidP="00E43104">
      <w:pPr>
        <w:pStyle w:val="ListParagraph"/>
        <w:ind w:left="2880"/>
      </w:pPr>
    </w:p>
    <w:p w:rsidR="007D45D2" w:rsidRDefault="007D45D2" w:rsidP="007D45D2">
      <w:pPr>
        <w:pStyle w:val="ListParagraph"/>
        <w:numPr>
          <w:ilvl w:val="1"/>
          <w:numId w:val="1"/>
        </w:numPr>
      </w:pPr>
      <w:r w:rsidRPr="001601A9">
        <w:t>Scope of investigation.</w:t>
      </w:r>
    </w:p>
    <w:p w:rsidR="00C16781" w:rsidRDefault="00C16781" w:rsidP="00C16781">
      <w:pPr>
        <w:pStyle w:val="ListParagraph"/>
        <w:ind w:left="1440"/>
      </w:pPr>
    </w:p>
    <w:p w:rsidR="00C16781" w:rsidRDefault="00C16781" w:rsidP="00C16781">
      <w:pPr>
        <w:pStyle w:val="ListParagraph"/>
        <w:numPr>
          <w:ilvl w:val="2"/>
          <w:numId w:val="1"/>
        </w:numPr>
      </w:pPr>
      <w:r>
        <w:t>CPR Model Rule 4.5.3(b)(1) describes scope of disclosure to be made.</w:t>
      </w:r>
    </w:p>
    <w:p w:rsidR="00C16781" w:rsidRDefault="00C16781" w:rsidP="00C16781">
      <w:pPr>
        <w:pStyle w:val="ListParagraph"/>
        <w:ind w:left="2160"/>
      </w:pPr>
    </w:p>
    <w:p w:rsidR="00C16781" w:rsidRDefault="00C16781" w:rsidP="00C16781">
      <w:pPr>
        <w:pStyle w:val="ListParagraph"/>
        <w:numPr>
          <w:ilvl w:val="2"/>
          <w:numId w:val="1"/>
        </w:numPr>
      </w:pPr>
      <w:r>
        <w:lastRenderedPageBreak/>
        <w:t>Code of Ethics for Arbitrators in Commercial Disputes at Canon II (A) (1)-(4) describes cope of disclosures to be made.</w:t>
      </w:r>
    </w:p>
    <w:p w:rsidR="00E43104" w:rsidRPr="001601A9" w:rsidRDefault="00E43104" w:rsidP="00E43104">
      <w:pPr>
        <w:pStyle w:val="ListParagraph"/>
        <w:ind w:left="1440"/>
      </w:pPr>
    </w:p>
    <w:p w:rsidR="007D45D2" w:rsidRDefault="007D45D2" w:rsidP="007D45D2">
      <w:pPr>
        <w:pStyle w:val="ListParagraph"/>
        <w:numPr>
          <w:ilvl w:val="1"/>
          <w:numId w:val="1"/>
        </w:numPr>
      </w:pPr>
      <w:r w:rsidRPr="001601A9">
        <w:t>The default rule – “when in doubt disclose!”</w:t>
      </w:r>
    </w:p>
    <w:p w:rsidR="00E43104" w:rsidRPr="001601A9" w:rsidRDefault="00E43104" w:rsidP="00E43104">
      <w:pPr>
        <w:pStyle w:val="ListParagraph"/>
        <w:ind w:left="1440"/>
      </w:pPr>
    </w:p>
    <w:p w:rsidR="001601A9" w:rsidRPr="00FE5094" w:rsidRDefault="001601A9" w:rsidP="001601A9">
      <w:pPr>
        <w:pStyle w:val="ListParagraph"/>
        <w:numPr>
          <w:ilvl w:val="2"/>
          <w:numId w:val="1"/>
        </w:numPr>
      </w:pPr>
      <w:r w:rsidRPr="001601A9">
        <w:rPr>
          <w:shd w:val="clear" w:color="auto" w:fill="FFFFFF"/>
        </w:rPr>
        <w:t>“We encourage full disclosure from arbitrators, while acknowledging that the very nature of the tripartite arbitrator system indicates to all that some relationship exists between each party and his or her appointed arbitrator. The parties to an </w:t>
      </w:r>
      <w:r w:rsidRPr="001601A9">
        <w:rPr>
          <w:rStyle w:val="sssh"/>
          <w:b/>
          <w:bCs/>
          <w:bdr w:val="none" w:sz="0" w:space="0" w:color="auto" w:frame="1"/>
        </w:rPr>
        <w:t>arbitration</w:t>
      </w:r>
      <w:r w:rsidRPr="001601A9">
        <w:rPr>
          <w:shd w:val="clear" w:color="auto" w:fill="FFFFFF"/>
        </w:rPr>
        <w:t> have agreed to settle their dispute without a judge; judicial economy dictates that our interference be limited to instances that we deem appropriate. That said, we remind and encourage all party-appointed arbitrators: </w:t>
      </w:r>
      <w:r w:rsidRPr="001601A9">
        <w:rPr>
          <w:rStyle w:val="sssh"/>
          <w:b/>
          <w:bCs/>
          <w:bdr w:val="none" w:sz="0" w:space="0" w:color="auto" w:frame="1"/>
        </w:rPr>
        <w:t>When in doubt, disclose</w:t>
      </w:r>
      <w:r w:rsidRPr="001601A9">
        <w:rPr>
          <w:shd w:val="clear" w:color="auto" w:fill="FFFFFF"/>
        </w:rPr>
        <w:t>.”</w:t>
      </w:r>
      <w:r w:rsidRPr="001601A9">
        <w:t xml:space="preserve"> </w:t>
      </w:r>
      <w:r w:rsidRPr="001601A9">
        <w:rPr>
          <w:i/>
          <w:iCs/>
          <w:bdr w:val="none" w:sz="0" w:space="0" w:color="auto" w:frame="1"/>
          <w:shd w:val="clear" w:color="auto" w:fill="FFFFFF"/>
        </w:rPr>
        <w:t>McGinity v. Pawtucket Mut. Ins. Co.</w:t>
      </w:r>
      <w:r w:rsidRPr="001601A9">
        <w:rPr>
          <w:shd w:val="clear" w:color="auto" w:fill="FFFFFF"/>
        </w:rPr>
        <w:t xml:space="preserve">, 899 A.2d 504, 509 (R.I. 2006). </w:t>
      </w:r>
    </w:p>
    <w:p w:rsidR="00FE5094" w:rsidRPr="001601A9" w:rsidRDefault="00FE5094" w:rsidP="00FE5094">
      <w:pPr>
        <w:pStyle w:val="ListParagraph"/>
        <w:ind w:left="2160"/>
      </w:pPr>
    </w:p>
    <w:p w:rsidR="007D45D2" w:rsidRDefault="007D45D2" w:rsidP="007D45D2">
      <w:pPr>
        <w:pStyle w:val="ListParagraph"/>
        <w:numPr>
          <w:ilvl w:val="0"/>
          <w:numId w:val="1"/>
        </w:numPr>
        <w:rPr>
          <w:b/>
        </w:rPr>
      </w:pPr>
      <w:r w:rsidRPr="00DF1481">
        <w:rPr>
          <w:b/>
        </w:rPr>
        <w:t>Arbitrator disclosure procedures.</w:t>
      </w:r>
    </w:p>
    <w:p w:rsidR="00E43104" w:rsidRPr="00DF1481" w:rsidRDefault="00E43104" w:rsidP="00E43104">
      <w:pPr>
        <w:pStyle w:val="ListParagraph"/>
        <w:rPr>
          <w:b/>
        </w:rPr>
      </w:pPr>
    </w:p>
    <w:p w:rsidR="007D45D2" w:rsidRDefault="007D45D2" w:rsidP="007D45D2">
      <w:pPr>
        <w:pStyle w:val="ListParagraph"/>
        <w:numPr>
          <w:ilvl w:val="1"/>
          <w:numId w:val="1"/>
        </w:numPr>
      </w:pPr>
      <w:r w:rsidRPr="001601A9">
        <w:t>Administered arbitrations.</w:t>
      </w:r>
    </w:p>
    <w:p w:rsidR="00E43104" w:rsidRPr="001601A9" w:rsidRDefault="00E43104" w:rsidP="00E43104">
      <w:pPr>
        <w:pStyle w:val="ListParagraph"/>
        <w:ind w:left="1440"/>
      </w:pPr>
    </w:p>
    <w:p w:rsidR="007909ED" w:rsidRDefault="007909ED" w:rsidP="007909ED">
      <w:pPr>
        <w:pStyle w:val="ListParagraph"/>
        <w:numPr>
          <w:ilvl w:val="2"/>
          <w:numId w:val="1"/>
        </w:numPr>
      </w:pPr>
      <w:r>
        <w:t>AHLA Rules of Procedure for Arbitration, R-3.3 (Arbitrat</w:t>
      </w:r>
      <w:r w:rsidR="00C16781">
        <w:t>ion Disclosure Checklist</w:t>
      </w:r>
      <w:r>
        <w:t>)</w:t>
      </w:r>
      <w:r w:rsidR="00C16781">
        <w:t>.</w:t>
      </w:r>
    </w:p>
    <w:p w:rsidR="00C015CE" w:rsidRPr="001601A9" w:rsidRDefault="00C015CE" w:rsidP="00C015CE">
      <w:pPr>
        <w:pStyle w:val="ListParagraph"/>
        <w:numPr>
          <w:ilvl w:val="2"/>
          <w:numId w:val="1"/>
        </w:numPr>
      </w:pPr>
      <w:r w:rsidRPr="001601A9">
        <w:t>AAA Commercial</w:t>
      </w:r>
      <w:r w:rsidR="007909ED">
        <w:t xml:space="preserve"> Rules,</w:t>
      </w:r>
      <w:r w:rsidRPr="001601A9">
        <w:t xml:space="preserve"> R-17 and R-18</w:t>
      </w:r>
      <w:r w:rsidR="00C16781">
        <w:t>.</w:t>
      </w:r>
    </w:p>
    <w:p w:rsidR="00C015CE" w:rsidRDefault="00C015CE" w:rsidP="00C015CE">
      <w:pPr>
        <w:pStyle w:val="ListParagraph"/>
        <w:numPr>
          <w:ilvl w:val="2"/>
          <w:numId w:val="1"/>
        </w:numPr>
      </w:pPr>
      <w:r w:rsidRPr="001601A9">
        <w:t>JAMS</w:t>
      </w:r>
      <w:r w:rsidR="007909ED">
        <w:t xml:space="preserve"> </w:t>
      </w:r>
      <w:r w:rsidR="007909ED" w:rsidRPr="007909ED">
        <w:t>Comprehensive Arbitration Rules &amp; Procedures</w:t>
      </w:r>
      <w:r w:rsidR="007909ED">
        <w:t>,</w:t>
      </w:r>
      <w:r w:rsidRPr="001601A9">
        <w:t xml:space="preserve"> R-15(h)(i)</w:t>
      </w:r>
      <w:r w:rsidR="00C16781">
        <w:t>.</w:t>
      </w:r>
    </w:p>
    <w:p w:rsidR="008E47E8" w:rsidRPr="001601A9" w:rsidRDefault="008E47E8" w:rsidP="00E43104">
      <w:pPr>
        <w:pStyle w:val="ListParagraph"/>
        <w:ind w:left="2160"/>
      </w:pPr>
    </w:p>
    <w:p w:rsidR="007D45D2" w:rsidRDefault="007D45D2" w:rsidP="007D45D2">
      <w:pPr>
        <w:pStyle w:val="ListParagraph"/>
        <w:numPr>
          <w:ilvl w:val="1"/>
          <w:numId w:val="1"/>
        </w:numPr>
      </w:pPr>
      <w:r w:rsidRPr="001601A9">
        <w:t>Private, ad hoc arbitrations.</w:t>
      </w:r>
    </w:p>
    <w:p w:rsidR="00E43104" w:rsidRPr="001601A9" w:rsidRDefault="00E43104" w:rsidP="00E43104">
      <w:pPr>
        <w:pStyle w:val="ListParagraph"/>
        <w:ind w:left="1440"/>
      </w:pPr>
    </w:p>
    <w:p w:rsidR="00753475" w:rsidRPr="001601A9" w:rsidRDefault="00753475" w:rsidP="00C015CE">
      <w:pPr>
        <w:pStyle w:val="ListParagraph"/>
        <w:numPr>
          <w:ilvl w:val="2"/>
          <w:numId w:val="1"/>
        </w:numPr>
      </w:pPr>
      <w:r w:rsidRPr="001601A9">
        <w:t xml:space="preserve">CPR Non-administered Rules R-7 </w:t>
      </w:r>
      <w:r w:rsidR="008E47E8">
        <w:t>(</w:t>
      </w:r>
      <w:r w:rsidRPr="001601A9">
        <w:t>Qualifications, Challenges and Replacement of Arbitrators</w:t>
      </w:r>
      <w:r w:rsidR="008E47E8">
        <w:t>)</w:t>
      </w:r>
      <w:r w:rsidRPr="001601A9">
        <w:t xml:space="preserve"> </w:t>
      </w:r>
    </w:p>
    <w:p w:rsidR="002A6E25" w:rsidRPr="001601A9" w:rsidRDefault="002A6E25" w:rsidP="002A6E25">
      <w:pPr>
        <w:pStyle w:val="ListParagraph"/>
        <w:numPr>
          <w:ilvl w:val="3"/>
          <w:numId w:val="1"/>
        </w:numPr>
      </w:pPr>
      <w:r w:rsidRPr="001601A9">
        <w:t xml:space="preserve">R-7.3 Disclosures </w:t>
      </w:r>
    </w:p>
    <w:p w:rsidR="002A6E25" w:rsidRDefault="002A6E25" w:rsidP="002A6E25">
      <w:pPr>
        <w:pStyle w:val="ListParagraph"/>
        <w:numPr>
          <w:ilvl w:val="3"/>
          <w:numId w:val="1"/>
        </w:numPr>
      </w:pPr>
      <w:r w:rsidRPr="001601A9">
        <w:t xml:space="preserve">R-7.4-7.8 Challenges to the Arbitrator </w:t>
      </w:r>
    </w:p>
    <w:p w:rsidR="00FE5094" w:rsidRPr="001601A9" w:rsidRDefault="00FE5094" w:rsidP="00FE5094">
      <w:pPr>
        <w:pStyle w:val="ListParagraph"/>
        <w:ind w:left="2880"/>
      </w:pPr>
    </w:p>
    <w:p w:rsidR="007D45D2" w:rsidRDefault="00FE5094" w:rsidP="007D45D2">
      <w:pPr>
        <w:pStyle w:val="ListParagraph"/>
        <w:numPr>
          <w:ilvl w:val="0"/>
          <w:numId w:val="1"/>
        </w:numPr>
        <w:rPr>
          <w:b/>
        </w:rPr>
      </w:pPr>
      <w:r w:rsidRPr="00DF1481">
        <w:rPr>
          <w:b/>
        </w:rPr>
        <w:t>Conclusions.</w:t>
      </w:r>
    </w:p>
    <w:p w:rsidR="004C32A5" w:rsidRDefault="004C32A5" w:rsidP="004C32A5">
      <w:pPr>
        <w:pStyle w:val="ListParagraph"/>
        <w:rPr>
          <w:b/>
        </w:rPr>
      </w:pPr>
    </w:p>
    <w:p w:rsidR="00714FD6" w:rsidRDefault="00A359AF" w:rsidP="00304765">
      <w:pPr>
        <w:pStyle w:val="ListParagraph"/>
        <w:numPr>
          <w:ilvl w:val="1"/>
          <w:numId w:val="1"/>
        </w:numPr>
      </w:pPr>
      <w:r w:rsidRPr="00304765">
        <w:t xml:space="preserve">Contrary to popular belief, conflicts of interest and mandatory disclosures are not the same thing. It is your job to disclose both. </w:t>
      </w:r>
    </w:p>
    <w:p w:rsidR="00304765" w:rsidRPr="00304765" w:rsidRDefault="00304765" w:rsidP="00304765">
      <w:pPr>
        <w:pStyle w:val="ListParagraph"/>
        <w:ind w:left="1440"/>
      </w:pPr>
    </w:p>
    <w:p w:rsidR="00714FD6" w:rsidRDefault="00A359AF" w:rsidP="00304765">
      <w:pPr>
        <w:pStyle w:val="ListParagraph"/>
        <w:numPr>
          <w:ilvl w:val="1"/>
          <w:numId w:val="1"/>
        </w:numPr>
      </w:pPr>
      <w:r w:rsidRPr="00304765">
        <w:t xml:space="preserve">Conflicts are about client relationships and disclosures are about any relationship or interest with the participants of the proceedings. </w:t>
      </w:r>
    </w:p>
    <w:p w:rsidR="00304765" w:rsidRPr="00304765" w:rsidRDefault="00304765" w:rsidP="00304765"/>
    <w:p w:rsidR="00714FD6" w:rsidRDefault="00A359AF" w:rsidP="00304765">
      <w:pPr>
        <w:pStyle w:val="ListParagraph"/>
        <w:numPr>
          <w:ilvl w:val="1"/>
          <w:numId w:val="1"/>
        </w:numPr>
      </w:pPr>
      <w:r w:rsidRPr="00304765">
        <w:t xml:space="preserve">Conflicts for one firm attorney are imputed to all other attorneys in the firm subject to very narrow exceptions. </w:t>
      </w:r>
    </w:p>
    <w:p w:rsidR="00304765" w:rsidRPr="00304765" w:rsidRDefault="00304765" w:rsidP="00304765"/>
    <w:p w:rsidR="00714FD6" w:rsidRDefault="00A359AF" w:rsidP="00304765">
      <w:pPr>
        <w:pStyle w:val="ListParagraph"/>
        <w:numPr>
          <w:ilvl w:val="1"/>
          <w:numId w:val="1"/>
        </w:numPr>
      </w:pPr>
      <w:r w:rsidRPr="00304765">
        <w:t>Disclosures are mandated by statutes, ethical rules, arbitration rules, and often the parties</w:t>
      </w:r>
      <w:r w:rsidR="00304765" w:rsidRPr="00304765">
        <w:t>’</w:t>
      </w:r>
      <w:r w:rsidRPr="00304765">
        <w:t xml:space="preserve"> agreement itself.</w:t>
      </w:r>
    </w:p>
    <w:p w:rsidR="00304765" w:rsidRPr="00304765" w:rsidRDefault="00304765" w:rsidP="00304765"/>
    <w:p w:rsidR="00714FD6" w:rsidRDefault="00A359AF" w:rsidP="00304765">
      <w:pPr>
        <w:pStyle w:val="ListParagraph"/>
        <w:numPr>
          <w:ilvl w:val="1"/>
          <w:numId w:val="1"/>
        </w:numPr>
      </w:pPr>
      <w:r w:rsidRPr="00304765">
        <w:t>Disclosures are an ongoing obligation.</w:t>
      </w:r>
    </w:p>
    <w:p w:rsidR="00304765" w:rsidRPr="00304765" w:rsidRDefault="00304765" w:rsidP="00304765"/>
    <w:p w:rsidR="009F7E56" w:rsidRDefault="00A359AF" w:rsidP="00304765">
      <w:pPr>
        <w:pStyle w:val="ListParagraph"/>
        <w:numPr>
          <w:ilvl w:val="1"/>
          <w:numId w:val="1"/>
        </w:numPr>
      </w:pPr>
      <w:r w:rsidRPr="00304765">
        <w:lastRenderedPageBreak/>
        <w:t>When in doubt, disclose!</w:t>
      </w:r>
    </w:p>
    <w:p w:rsidR="00304765" w:rsidRPr="00304765" w:rsidRDefault="00A359AF" w:rsidP="009F7E56">
      <w:pPr>
        <w:pStyle w:val="ListParagraph"/>
        <w:ind w:left="1440"/>
      </w:pPr>
      <w:r w:rsidRPr="00304765">
        <w:t xml:space="preserve"> </w:t>
      </w:r>
    </w:p>
    <w:p w:rsidR="00E43104" w:rsidRPr="004C32A5" w:rsidRDefault="00E43104" w:rsidP="00E43104">
      <w:pPr>
        <w:pStyle w:val="ListParagraph"/>
        <w:numPr>
          <w:ilvl w:val="1"/>
          <w:numId w:val="1"/>
        </w:numPr>
        <w:rPr>
          <w:b/>
        </w:rPr>
      </w:pPr>
      <w:r>
        <w:t>Arbitrators in the U.S. are required to make both conflicts of interest and disclosure of relationships and interest investigations when first appointed.</w:t>
      </w:r>
    </w:p>
    <w:p w:rsidR="004C32A5" w:rsidRPr="00E43104" w:rsidRDefault="004C32A5" w:rsidP="004C32A5">
      <w:pPr>
        <w:pStyle w:val="ListParagraph"/>
        <w:ind w:left="1440"/>
        <w:rPr>
          <w:b/>
        </w:rPr>
      </w:pPr>
    </w:p>
    <w:p w:rsidR="00E43104" w:rsidRPr="004C32A5" w:rsidRDefault="00E43104" w:rsidP="00E43104">
      <w:pPr>
        <w:pStyle w:val="ListParagraph"/>
        <w:numPr>
          <w:ilvl w:val="1"/>
          <w:numId w:val="1"/>
        </w:numPr>
        <w:rPr>
          <w:b/>
        </w:rPr>
      </w:pPr>
      <w:r>
        <w:t>This investigation for disclosures must be reasonable and should include the maintenance of good records on all arbitrations in which the arbitrator has participated in the past.</w:t>
      </w:r>
    </w:p>
    <w:p w:rsidR="004C32A5" w:rsidRPr="00E43104" w:rsidRDefault="004C32A5" w:rsidP="004C32A5">
      <w:pPr>
        <w:pStyle w:val="ListParagraph"/>
        <w:ind w:left="1440"/>
        <w:rPr>
          <w:b/>
        </w:rPr>
      </w:pPr>
    </w:p>
    <w:p w:rsidR="00E43104" w:rsidRPr="004C32A5" w:rsidRDefault="00E43104" w:rsidP="00E43104">
      <w:pPr>
        <w:pStyle w:val="ListParagraph"/>
        <w:numPr>
          <w:ilvl w:val="1"/>
          <w:numId w:val="1"/>
        </w:numPr>
        <w:rPr>
          <w:b/>
        </w:rPr>
      </w:pPr>
      <w:r>
        <w:t>Failure to reasonably investigate and report conflicts and disclosures means an award issued by the non-disclosing or faulty disclosing arbitrator is subject to vacatur for “evident partiality.”</w:t>
      </w:r>
    </w:p>
    <w:p w:rsidR="004C32A5" w:rsidRPr="004C32A5" w:rsidRDefault="004C32A5" w:rsidP="004C32A5">
      <w:pPr>
        <w:pStyle w:val="ListParagraph"/>
        <w:rPr>
          <w:b/>
        </w:rPr>
      </w:pPr>
    </w:p>
    <w:p w:rsidR="004C32A5" w:rsidRPr="004C32A5" w:rsidRDefault="00E43104" w:rsidP="00E43104">
      <w:pPr>
        <w:pStyle w:val="ListParagraph"/>
        <w:numPr>
          <w:ilvl w:val="1"/>
          <w:numId w:val="1"/>
        </w:numPr>
        <w:rPr>
          <w:b/>
        </w:rPr>
      </w:pPr>
      <w:r>
        <w:t xml:space="preserve">“Evident partiality” is </w:t>
      </w:r>
      <w:r>
        <w:rPr>
          <w:b/>
        </w:rPr>
        <w:t>not</w:t>
      </w:r>
      <w:r>
        <w:t xml:space="preserve"> “evident” but</w:t>
      </w:r>
      <w:r w:rsidR="004C32A5">
        <w:t xml:space="preserve"> something less than “evident.” It </w:t>
      </w:r>
      <w:r>
        <w:t>is “a reasonable impression” by “a reasonable person</w:t>
      </w:r>
      <w:r w:rsidR="004C32A5">
        <w:t>.</w:t>
      </w:r>
      <w:r>
        <w:t>”</w:t>
      </w:r>
    </w:p>
    <w:p w:rsidR="004C32A5" w:rsidRPr="004C32A5" w:rsidRDefault="00E43104" w:rsidP="004C32A5">
      <w:pPr>
        <w:pStyle w:val="ListParagraph"/>
        <w:ind w:left="1440"/>
        <w:rPr>
          <w:b/>
        </w:rPr>
      </w:pPr>
      <w:r>
        <w:t xml:space="preserve"> </w:t>
      </w:r>
    </w:p>
    <w:p w:rsidR="00E43104" w:rsidRDefault="004C32A5" w:rsidP="00F83CF9">
      <w:pPr>
        <w:pStyle w:val="ListParagraph"/>
        <w:numPr>
          <w:ilvl w:val="1"/>
          <w:numId w:val="1"/>
        </w:numPr>
        <w:rPr>
          <w:b/>
        </w:rPr>
      </w:pPr>
      <w:r>
        <w:t>The failure</w:t>
      </w:r>
      <w:r w:rsidR="009F7E56">
        <w:t>-</w:t>
      </w:r>
      <w:r>
        <w:t>to</w:t>
      </w:r>
      <w:r w:rsidR="009F7E56">
        <w:t>-</w:t>
      </w:r>
      <w:r>
        <w:t xml:space="preserve">disclose cases say that </w:t>
      </w:r>
      <w:r w:rsidR="00E43104">
        <w:t xml:space="preserve">the </w:t>
      </w:r>
      <w:r>
        <w:t xml:space="preserve">mere </w:t>
      </w:r>
      <w:r w:rsidR="00E43104">
        <w:t xml:space="preserve">fact of a </w:t>
      </w:r>
      <w:r>
        <w:t>failure to disclose</w:t>
      </w:r>
      <w:r w:rsidR="00E43104">
        <w:t xml:space="preserve"> constitutes some evidence of “evident partiality.”</w:t>
      </w:r>
    </w:p>
    <w:sectPr w:rsidR="00E4310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75" w:rsidRDefault="00753475" w:rsidP="00753475">
      <w:r>
        <w:separator/>
      </w:r>
    </w:p>
  </w:endnote>
  <w:endnote w:type="continuationSeparator" w:id="0">
    <w:p w:rsidR="00753475" w:rsidRDefault="00753475" w:rsidP="0075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E7" w:rsidRDefault="00E31548">
    <w:pPr>
      <w:pStyle w:val="Footer"/>
      <w:rPr>
        <w:b/>
        <w:bCs/>
        <w:sz w:val="20"/>
        <w:szCs w:val="20"/>
      </w:rPr>
    </w:pPr>
    <w:r w:rsidRPr="00E31548">
      <w:rPr>
        <w:b/>
        <w:sz w:val="20"/>
        <w:szCs w:val="20"/>
      </w:rPr>
      <w:t>ARBITRATOR CONFLICTS AND DISCLOSURES</w:t>
    </w:r>
    <w:r>
      <w:rPr>
        <w:b/>
        <w:sz w:val="20"/>
        <w:szCs w:val="20"/>
      </w:rPr>
      <w:tab/>
    </w:r>
    <w:r>
      <w:rPr>
        <w:b/>
        <w:sz w:val="20"/>
        <w:szCs w:val="20"/>
      </w:rPr>
      <w:tab/>
    </w:r>
    <w:r w:rsidRPr="00E31548">
      <w:rPr>
        <w:b/>
        <w:sz w:val="20"/>
        <w:szCs w:val="20"/>
      </w:rPr>
      <w:t xml:space="preserve">Page </w:t>
    </w:r>
    <w:r w:rsidRPr="00E31548">
      <w:rPr>
        <w:b/>
        <w:bCs/>
        <w:sz w:val="20"/>
        <w:szCs w:val="20"/>
      </w:rPr>
      <w:fldChar w:fldCharType="begin"/>
    </w:r>
    <w:r w:rsidRPr="00E31548">
      <w:rPr>
        <w:b/>
        <w:bCs/>
        <w:sz w:val="20"/>
        <w:szCs w:val="20"/>
      </w:rPr>
      <w:instrText xml:space="preserve"> PAGE  \* Arabic  \* MERGEFORMAT </w:instrText>
    </w:r>
    <w:r w:rsidRPr="00E31548">
      <w:rPr>
        <w:b/>
        <w:bCs/>
        <w:sz w:val="20"/>
        <w:szCs w:val="20"/>
      </w:rPr>
      <w:fldChar w:fldCharType="separate"/>
    </w:r>
    <w:r w:rsidR="009F7E56">
      <w:rPr>
        <w:b/>
        <w:bCs/>
        <w:noProof/>
        <w:sz w:val="20"/>
        <w:szCs w:val="20"/>
      </w:rPr>
      <w:t>2</w:t>
    </w:r>
    <w:r w:rsidRPr="00E31548">
      <w:rPr>
        <w:b/>
        <w:bCs/>
        <w:sz w:val="20"/>
        <w:szCs w:val="20"/>
      </w:rPr>
      <w:fldChar w:fldCharType="end"/>
    </w:r>
    <w:r w:rsidRPr="00E31548">
      <w:rPr>
        <w:b/>
        <w:sz w:val="20"/>
        <w:szCs w:val="20"/>
      </w:rPr>
      <w:t xml:space="preserve"> of </w:t>
    </w:r>
    <w:r w:rsidRPr="00E31548">
      <w:rPr>
        <w:b/>
        <w:bCs/>
        <w:sz w:val="20"/>
        <w:szCs w:val="20"/>
      </w:rPr>
      <w:fldChar w:fldCharType="begin"/>
    </w:r>
    <w:r w:rsidRPr="00E31548">
      <w:rPr>
        <w:b/>
        <w:bCs/>
        <w:sz w:val="20"/>
        <w:szCs w:val="20"/>
      </w:rPr>
      <w:instrText xml:space="preserve"> NUMPAGES  \* Arabic  \* MERGEFORMAT </w:instrText>
    </w:r>
    <w:r w:rsidRPr="00E31548">
      <w:rPr>
        <w:b/>
        <w:bCs/>
        <w:sz w:val="20"/>
        <w:szCs w:val="20"/>
      </w:rPr>
      <w:fldChar w:fldCharType="separate"/>
    </w:r>
    <w:r w:rsidR="009F7E56">
      <w:rPr>
        <w:b/>
        <w:bCs/>
        <w:noProof/>
        <w:sz w:val="20"/>
        <w:szCs w:val="20"/>
      </w:rPr>
      <w:t>11</w:t>
    </w:r>
    <w:r w:rsidRPr="00E31548">
      <w:rPr>
        <w:b/>
        <w:bCs/>
        <w:sz w:val="20"/>
        <w:szCs w:val="20"/>
      </w:rPr>
      <w:fldChar w:fldCharType="end"/>
    </w:r>
  </w:p>
  <w:p w:rsidR="00E31548" w:rsidRPr="00E31548" w:rsidRDefault="00E31548">
    <w:pPr>
      <w:pStyle w:val="Footer"/>
      <w:rPr>
        <w:sz w:val="20"/>
        <w:szCs w:val="20"/>
      </w:rPr>
    </w:pPr>
    <w:r>
      <w:rPr>
        <w:bCs/>
        <w:sz w:val="20"/>
        <w:szCs w:val="20"/>
      </w:rPr>
      <w:t>Dm385378</w:t>
    </w:r>
  </w:p>
  <w:p w:rsidR="00491841" w:rsidRDefault="0049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75" w:rsidRDefault="00753475" w:rsidP="00753475">
      <w:r>
        <w:separator/>
      </w:r>
    </w:p>
  </w:footnote>
  <w:footnote w:type="continuationSeparator" w:id="0">
    <w:p w:rsidR="00753475" w:rsidRDefault="00753475" w:rsidP="00753475">
      <w:r>
        <w:continuationSeparator/>
      </w:r>
    </w:p>
  </w:footnote>
  <w:footnote w:id="1">
    <w:p w:rsidR="00E22A82" w:rsidRDefault="00E22A82">
      <w:pPr>
        <w:pStyle w:val="FootnoteText"/>
      </w:pPr>
      <w:r>
        <w:rPr>
          <w:rStyle w:val="FootnoteReference"/>
        </w:rPr>
        <w:footnoteRef/>
      </w:r>
      <w:r>
        <w:t xml:space="preserve"> Texas </w:t>
      </w:r>
      <w:r w:rsidRPr="00FF3696">
        <w:t>Disciplinary Rules of Professional Conduct</w:t>
      </w:r>
      <w:r>
        <w:t xml:space="preserve"> Rule 1.06(a)</w:t>
      </w:r>
    </w:p>
  </w:footnote>
  <w:footnote w:id="2">
    <w:p w:rsidR="00E22A82" w:rsidRDefault="00E22A82">
      <w:pPr>
        <w:pStyle w:val="FootnoteText"/>
      </w:pPr>
      <w:r>
        <w:rPr>
          <w:rStyle w:val="FootnoteReference"/>
        </w:rPr>
        <w:footnoteRef/>
      </w:r>
      <w:r>
        <w:t xml:space="preserve"> </w:t>
      </w:r>
      <w:r w:rsidR="00BF2747">
        <w:t xml:space="preserve">Texas </w:t>
      </w:r>
      <w:r w:rsidR="00BF2747" w:rsidRPr="00FF3696">
        <w:t>Disciplinary Rules of Professional Conduct</w:t>
      </w:r>
      <w:r w:rsidR="00BF2747">
        <w:t xml:space="preserve"> </w:t>
      </w:r>
      <w:r>
        <w:t>Rule 1.06(b)(2).</w:t>
      </w:r>
    </w:p>
  </w:footnote>
  <w:footnote w:id="3">
    <w:p w:rsidR="00BF2747" w:rsidRDefault="00BF2747">
      <w:pPr>
        <w:pStyle w:val="FootnoteText"/>
      </w:pPr>
      <w:r>
        <w:rPr>
          <w:rStyle w:val="FootnoteReference"/>
        </w:rPr>
        <w:footnoteRef/>
      </w:r>
      <w:r>
        <w:t xml:space="preserve"> Texas </w:t>
      </w:r>
      <w:r w:rsidRPr="00FF3696">
        <w:t>Disciplinary Rules of Professional Conduct</w:t>
      </w:r>
      <w:r>
        <w:t xml:space="preserve"> Rule 1.06(b)(1), (f).</w:t>
      </w:r>
    </w:p>
  </w:footnote>
  <w:footnote w:id="4">
    <w:p w:rsidR="00753475" w:rsidRDefault="00753475" w:rsidP="00753475">
      <w:pPr>
        <w:pStyle w:val="FootnoteText"/>
      </w:pPr>
      <w:r>
        <w:rPr>
          <w:rStyle w:val="FootnoteReference"/>
        </w:rPr>
        <w:footnoteRef/>
      </w:r>
      <w:r>
        <w:t xml:space="preserve"> Page 2, second full paragraph.</w:t>
      </w:r>
    </w:p>
  </w:footnote>
  <w:footnote w:id="5">
    <w:p w:rsidR="00753475" w:rsidRDefault="00753475" w:rsidP="00753475">
      <w:pPr>
        <w:pStyle w:val="FootnoteText"/>
      </w:pPr>
      <w:r>
        <w:rPr>
          <w:rStyle w:val="FootnoteReference"/>
        </w:rPr>
        <w:footnoteRef/>
      </w:r>
      <w:r>
        <w:t xml:space="preserve"> Page 2, second full paragraph.</w:t>
      </w:r>
    </w:p>
  </w:footnote>
  <w:footnote w:id="6">
    <w:p w:rsidR="00753475" w:rsidRDefault="00753475" w:rsidP="00753475">
      <w:pPr>
        <w:pStyle w:val="FootnoteText"/>
      </w:pPr>
      <w:r>
        <w:rPr>
          <w:rStyle w:val="FootnoteReference"/>
        </w:rPr>
        <w:footnoteRef/>
      </w:r>
      <w:r>
        <w:t xml:space="preserve"> Page 2, last full paragraph.</w:t>
      </w:r>
    </w:p>
  </w:footnote>
  <w:footnote w:id="7">
    <w:p w:rsidR="00753475" w:rsidRDefault="00753475" w:rsidP="00753475">
      <w:pPr>
        <w:pStyle w:val="FootnoteText"/>
      </w:pPr>
      <w:r>
        <w:rPr>
          <w:rStyle w:val="FootnoteReference"/>
        </w:rPr>
        <w:footnoteRef/>
      </w:r>
      <w:r>
        <w:t xml:space="preserve"> Page 3, second full paragraph.</w:t>
      </w:r>
    </w:p>
  </w:footnote>
  <w:footnote w:id="8">
    <w:p w:rsidR="00753475" w:rsidRDefault="00753475" w:rsidP="00753475">
      <w:pPr>
        <w:pStyle w:val="FootnoteText"/>
      </w:pPr>
      <w:r>
        <w:rPr>
          <w:rStyle w:val="FootnoteReference"/>
        </w:rPr>
        <w:footnoteRef/>
      </w:r>
      <w:r>
        <w:t xml:space="preserve"> Page 3, second full paragraph.</w:t>
      </w:r>
    </w:p>
  </w:footnote>
  <w:footnote w:id="9">
    <w:p w:rsidR="00753475" w:rsidRDefault="00753475" w:rsidP="00753475">
      <w:pPr>
        <w:pStyle w:val="FootnoteText"/>
      </w:pPr>
      <w:r>
        <w:rPr>
          <w:rStyle w:val="FootnoteReference"/>
        </w:rPr>
        <w:footnoteRef/>
      </w:r>
      <w:r>
        <w:t xml:space="preserve"> Page 3, second full paragraph.</w:t>
      </w:r>
    </w:p>
  </w:footnote>
  <w:footnote w:id="10">
    <w:p w:rsidR="00753475" w:rsidRDefault="00753475" w:rsidP="00753475">
      <w:pPr>
        <w:pStyle w:val="FootnoteText"/>
      </w:pPr>
      <w:r>
        <w:rPr>
          <w:rStyle w:val="FootnoteReference"/>
        </w:rPr>
        <w:footnoteRef/>
      </w:r>
      <w:r>
        <w:t xml:space="preserve"> Page 4, first full paragraph.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4B0D"/>
    <w:multiLevelType w:val="hybridMultilevel"/>
    <w:tmpl w:val="D5E8B514"/>
    <w:lvl w:ilvl="0" w:tplc="3424C7BE">
      <w:start w:val="1"/>
      <w:numFmt w:val="bullet"/>
      <w:lvlText w:val=""/>
      <w:lvlJc w:val="left"/>
      <w:pPr>
        <w:tabs>
          <w:tab w:val="num" w:pos="720"/>
        </w:tabs>
        <w:ind w:left="720" w:hanging="360"/>
      </w:pPr>
      <w:rPr>
        <w:rFonts w:ascii="Wingdings 3" w:hAnsi="Wingdings 3" w:hint="default"/>
      </w:rPr>
    </w:lvl>
    <w:lvl w:ilvl="1" w:tplc="6FEC1086">
      <w:start w:val="174"/>
      <w:numFmt w:val="bullet"/>
      <w:lvlText w:val=""/>
      <w:lvlJc w:val="left"/>
      <w:pPr>
        <w:tabs>
          <w:tab w:val="num" w:pos="1440"/>
        </w:tabs>
        <w:ind w:left="1440" w:hanging="360"/>
      </w:pPr>
      <w:rPr>
        <w:rFonts w:ascii="Wingdings 3" w:hAnsi="Wingdings 3" w:hint="default"/>
      </w:rPr>
    </w:lvl>
    <w:lvl w:ilvl="2" w:tplc="5D585B86">
      <w:start w:val="174"/>
      <w:numFmt w:val="bullet"/>
      <w:lvlText w:val=""/>
      <w:lvlJc w:val="left"/>
      <w:pPr>
        <w:tabs>
          <w:tab w:val="num" w:pos="2160"/>
        </w:tabs>
        <w:ind w:left="2160" w:hanging="360"/>
      </w:pPr>
      <w:rPr>
        <w:rFonts w:ascii="Wingdings 3" w:hAnsi="Wingdings 3" w:hint="default"/>
      </w:rPr>
    </w:lvl>
    <w:lvl w:ilvl="3" w:tplc="8A52DA16" w:tentative="1">
      <w:start w:val="1"/>
      <w:numFmt w:val="bullet"/>
      <w:lvlText w:val=""/>
      <w:lvlJc w:val="left"/>
      <w:pPr>
        <w:tabs>
          <w:tab w:val="num" w:pos="2880"/>
        </w:tabs>
        <w:ind w:left="2880" w:hanging="360"/>
      </w:pPr>
      <w:rPr>
        <w:rFonts w:ascii="Wingdings 3" w:hAnsi="Wingdings 3" w:hint="default"/>
      </w:rPr>
    </w:lvl>
    <w:lvl w:ilvl="4" w:tplc="000651A2" w:tentative="1">
      <w:start w:val="1"/>
      <w:numFmt w:val="bullet"/>
      <w:lvlText w:val=""/>
      <w:lvlJc w:val="left"/>
      <w:pPr>
        <w:tabs>
          <w:tab w:val="num" w:pos="3600"/>
        </w:tabs>
        <w:ind w:left="3600" w:hanging="360"/>
      </w:pPr>
      <w:rPr>
        <w:rFonts w:ascii="Wingdings 3" w:hAnsi="Wingdings 3" w:hint="default"/>
      </w:rPr>
    </w:lvl>
    <w:lvl w:ilvl="5" w:tplc="0D968F20" w:tentative="1">
      <w:start w:val="1"/>
      <w:numFmt w:val="bullet"/>
      <w:lvlText w:val=""/>
      <w:lvlJc w:val="left"/>
      <w:pPr>
        <w:tabs>
          <w:tab w:val="num" w:pos="4320"/>
        </w:tabs>
        <w:ind w:left="4320" w:hanging="360"/>
      </w:pPr>
      <w:rPr>
        <w:rFonts w:ascii="Wingdings 3" w:hAnsi="Wingdings 3" w:hint="default"/>
      </w:rPr>
    </w:lvl>
    <w:lvl w:ilvl="6" w:tplc="291EBBC6" w:tentative="1">
      <w:start w:val="1"/>
      <w:numFmt w:val="bullet"/>
      <w:lvlText w:val=""/>
      <w:lvlJc w:val="left"/>
      <w:pPr>
        <w:tabs>
          <w:tab w:val="num" w:pos="5040"/>
        </w:tabs>
        <w:ind w:left="5040" w:hanging="360"/>
      </w:pPr>
      <w:rPr>
        <w:rFonts w:ascii="Wingdings 3" w:hAnsi="Wingdings 3" w:hint="default"/>
      </w:rPr>
    </w:lvl>
    <w:lvl w:ilvl="7" w:tplc="15641E04" w:tentative="1">
      <w:start w:val="1"/>
      <w:numFmt w:val="bullet"/>
      <w:lvlText w:val=""/>
      <w:lvlJc w:val="left"/>
      <w:pPr>
        <w:tabs>
          <w:tab w:val="num" w:pos="5760"/>
        </w:tabs>
        <w:ind w:left="5760" w:hanging="360"/>
      </w:pPr>
      <w:rPr>
        <w:rFonts w:ascii="Wingdings 3" w:hAnsi="Wingdings 3" w:hint="default"/>
      </w:rPr>
    </w:lvl>
    <w:lvl w:ilvl="8" w:tplc="006CB03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1BD04C7"/>
    <w:multiLevelType w:val="hybridMultilevel"/>
    <w:tmpl w:val="0B3C3B84"/>
    <w:lvl w:ilvl="0" w:tplc="8618E858">
      <w:start w:val="1"/>
      <w:numFmt w:val="bullet"/>
      <w:lvlText w:val=""/>
      <w:lvlJc w:val="left"/>
      <w:pPr>
        <w:tabs>
          <w:tab w:val="num" w:pos="720"/>
        </w:tabs>
        <w:ind w:left="720" w:hanging="360"/>
      </w:pPr>
      <w:rPr>
        <w:rFonts w:ascii="Wingdings 3" w:hAnsi="Wingdings 3" w:hint="default"/>
      </w:rPr>
    </w:lvl>
    <w:lvl w:ilvl="1" w:tplc="2B0A9256" w:tentative="1">
      <w:start w:val="1"/>
      <w:numFmt w:val="bullet"/>
      <w:lvlText w:val=""/>
      <w:lvlJc w:val="left"/>
      <w:pPr>
        <w:tabs>
          <w:tab w:val="num" w:pos="1440"/>
        </w:tabs>
        <w:ind w:left="1440" w:hanging="360"/>
      </w:pPr>
      <w:rPr>
        <w:rFonts w:ascii="Wingdings 3" w:hAnsi="Wingdings 3" w:hint="default"/>
      </w:rPr>
    </w:lvl>
    <w:lvl w:ilvl="2" w:tplc="7FE26202" w:tentative="1">
      <w:start w:val="1"/>
      <w:numFmt w:val="bullet"/>
      <w:lvlText w:val=""/>
      <w:lvlJc w:val="left"/>
      <w:pPr>
        <w:tabs>
          <w:tab w:val="num" w:pos="2160"/>
        </w:tabs>
        <w:ind w:left="2160" w:hanging="360"/>
      </w:pPr>
      <w:rPr>
        <w:rFonts w:ascii="Wingdings 3" w:hAnsi="Wingdings 3" w:hint="default"/>
      </w:rPr>
    </w:lvl>
    <w:lvl w:ilvl="3" w:tplc="8530F4E6" w:tentative="1">
      <w:start w:val="1"/>
      <w:numFmt w:val="bullet"/>
      <w:lvlText w:val=""/>
      <w:lvlJc w:val="left"/>
      <w:pPr>
        <w:tabs>
          <w:tab w:val="num" w:pos="2880"/>
        </w:tabs>
        <w:ind w:left="2880" w:hanging="360"/>
      </w:pPr>
      <w:rPr>
        <w:rFonts w:ascii="Wingdings 3" w:hAnsi="Wingdings 3" w:hint="default"/>
      </w:rPr>
    </w:lvl>
    <w:lvl w:ilvl="4" w:tplc="B4328050" w:tentative="1">
      <w:start w:val="1"/>
      <w:numFmt w:val="bullet"/>
      <w:lvlText w:val=""/>
      <w:lvlJc w:val="left"/>
      <w:pPr>
        <w:tabs>
          <w:tab w:val="num" w:pos="3600"/>
        </w:tabs>
        <w:ind w:left="3600" w:hanging="360"/>
      </w:pPr>
      <w:rPr>
        <w:rFonts w:ascii="Wingdings 3" w:hAnsi="Wingdings 3" w:hint="default"/>
      </w:rPr>
    </w:lvl>
    <w:lvl w:ilvl="5" w:tplc="F9A60F7A" w:tentative="1">
      <w:start w:val="1"/>
      <w:numFmt w:val="bullet"/>
      <w:lvlText w:val=""/>
      <w:lvlJc w:val="left"/>
      <w:pPr>
        <w:tabs>
          <w:tab w:val="num" w:pos="4320"/>
        </w:tabs>
        <w:ind w:left="4320" w:hanging="360"/>
      </w:pPr>
      <w:rPr>
        <w:rFonts w:ascii="Wingdings 3" w:hAnsi="Wingdings 3" w:hint="default"/>
      </w:rPr>
    </w:lvl>
    <w:lvl w:ilvl="6" w:tplc="31A4BA8E" w:tentative="1">
      <w:start w:val="1"/>
      <w:numFmt w:val="bullet"/>
      <w:lvlText w:val=""/>
      <w:lvlJc w:val="left"/>
      <w:pPr>
        <w:tabs>
          <w:tab w:val="num" w:pos="5040"/>
        </w:tabs>
        <w:ind w:left="5040" w:hanging="360"/>
      </w:pPr>
      <w:rPr>
        <w:rFonts w:ascii="Wingdings 3" w:hAnsi="Wingdings 3" w:hint="default"/>
      </w:rPr>
    </w:lvl>
    <w:lvl w:ilvl="7" w:tplc="52C248EE" w:tentative="1">
      <w:start w:val="1"/>
      <w:numFmt w:val="bullet"/>
      <w:lvlText w:val=""/>
      <w:lvlJc w:val="left"/>
      <w:pPr>
        <w:tabs>
          <w:tab w:val="num" w:pos="5760"/>
        </w:tabs>
        <w:ind w:left="5760" w:hanging="360"/>
      </w:pPr>
      <w:rPr>
        <w:rFonts w:ascii="Wingdings 3" w:hAnsi="Wingdings 3" w:hint="default"/>
      </w:rPr>
    </w:lvl>
    <w:lvl w:ilvl="8" w:tplc="662E6C8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EEF3FE9"/>
    <w:multiLevelType w:val="hybridMultilevel"/>
    <w:tmpl w:val="C478BE1A"/>
    <w:lvl w:ilvl="0" w:tplc="CD00FA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1B9503A"/>
    <w:multiLevelType w:val="hybridMultilevel"/>
    <w:tmpl w:val="3CEA3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45A5A"/>
    <w:multiLevelType w:val="hybridMultilevel"/>
    <w:tmpl w:val="DFA20630"/>
    <w:lvl w:ilvl="0" w:tplc="E0E40ED4">
      <w:start w:val="1"/>
      <w:numFmt w:val="decimal"/>
      <w:lvlText w:val="%1."/>
      <w:lvlJc w:val="left"/>
      <w:pPr>
        <w:ind w:left="720" w:hanging="360"/>
      </w:pPr>
      <w:rPr>
        <w:rFonts w:ascii="Times New Roman" w:eastAsiaTheme="minorHAnsi" w:hAnsi="Times New Roman" w:cs="Times New Roman"/>
      </w:rPr>
    </w:lvl>
    <w:lvl w:ilvl="1" w:tplc="DF22B102">
      <w:start w:val="1"/>
      <w:numFmt w:val="lowerLetter"/>
      <w:lvlText w:val="%2."/>
      <w:lvlJc w:val="left"/>
      <w:pPr>
        <w:ind w:left="1440" w:hanging="360"/>
      </w:pPr>
      <w:rPr>
        <w:b w:val="0"/>
      </w:rPr>
    </w:lvl>
    <w:lvl w:ilvl="2" w:tplc="AF4A27B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B13C7D"/>
    <w:multiLevelType w:val="hybridMultilevel"/>
    <w:tmpl w:val="FCA25630"/>
    <w:lvl w:ilvl="0" w:tplc="49A23B22">
      <w:start w:val="3"/>
      <w:numFmt w:val="lowerRoman"/>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FB611D"/>
    <w:multiLevelType w:val="hybridMultilevel"/>
    <w:tmpl w:val="D25C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D2"/>
    <w:rsid w:val="00012061"/>
    <w:rsid w:val="00024CFE"/>
    <w:rsid w:val="000533E8"/>
    <w:rsid w:val="0008308A"/>
    <w:rsid w:val="001601A9"/>
    <w:rsid w:val="001B6560"/>
    <w:rsid w:val="001C5932"/>
    <w:rsid w:val="002A6E25"/>
    <w:rsid w:val="00304765"/>
    <w:rsid w:val="003C356D"/>
    <w:rsid w:val="004501A3"/>
    <w:rsid w:val="004901E1"/>
    <w:rsid w:val="00491841"/>
    <w:rsid w:val="004C32A5"/>
    <w:rsid w:val="00597A28"/>
    <w:rsid w:val="00714FD6"/>
    <w:rsid w:val="00753475"/>
    <w:rsid w:val="007909ED"/>
    <w:rsid w:val="007C6AE7"/>
    <w:rsid w:val="007D45D2"/>
    <w:rsid w:val="007E3887"/>
    <w:rsid w:val="00854453"/>
    <w:rsid w:val="0089676A"/>
    <w:rsid w:val="008B3530"/>
    <w:rsid w:val="008E47E8"/>
    <w:rsid w:val="00986DA6"/>
    <w:rsid w:val="009F7E56"/>
    <w:rsid w:val="00A05714"/>
    <w:rsid w:val="00A359AF"/>
    <w:rsid w:val="00A66E24"/>
    <w:rsid w:val="00BD28E6"/>
    <w:rsid w:val="00BF2747"/>
    <w:rsid w:val="00C015CE"/>
    <w:rsid w:val="00C16781"/>
    <w:rsid w:val="00C7349C"/>
    <w:rsid w:val="00C7740E"/>
    <w:rsid w:val="00C95989"/>
    <w:rsid w:val="00D104BB"/>
    <w:rsid w:val="00D63A11"/>
    <w:rsid w:val="00D7242C"/>
    <w:rsid w:val="00DD2269"/>
    <w:rsid w:val="00DF1481"/>
    <w:rsid w:val="00DF73FA"/>
    <w:rsid w:val="00E07DB9"/>
    <w:rsid w:val="00E22A82"/>
    <w:rsid w:val="00E31548"/>
    <w:rsid w:val="00E43104"/>
    <w:rsid w:val="00E506BF"/>
    <w:rsid w:val="00EA67D5"/>
    <w:rsid w:val="00F80EBD"/>
    <w:rsid w:val="00F83F2B"/>
    <w:rsid w:val="00FA6A41"/>
    <w:rsid w:val="00FB7F45"/>
    <w:rsid w:val="00FE24CF"/>
    <w:rsid w:val="00FE5094"/>
    <w:rsid w:val="00FF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81D2"/>
  <w15:chartTrackingRefBased/>
  <w15:docId w15:val="{5827FA26-3E0F-485D-B5C1-95588C6B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5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D2"/>
    <w:pPr>
      <w:ind w:left="720"/>
    </w:pPr>
  </w:style>
  <w:style w:type="paragraph" w:styleId="FootnoteText">
    <w:name w:val="footnote text"/>
    <w:basedOn w:val="Normal"/>
    <w:link w:val="FootnoteTextChar"/>
    <w:uiPriority w:val="99"/>
    <w:semiHidden/>
    <w:unhideWhenUsed/>
    <w:rsid w:val="0075347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53475"/>
    <w:rPr>
      <w:sz w:val="20"/>
      <w:szCs w:val="20"/>
    </w:rPr>
  </w:style>
  <w:style w:type="character" w:styleId="FootnoteReference">
    <w:name w:val="footnote reference"/>
    <w:basedOn w:val="DefaultParagraphFont"/>
    <w:uiPriority w:val="99"/>
    <w:semiHidden/>
    <w:unhideWhenUsed/>
    <w:rsid w:val="00753475"/>
    <w:rPr>
      <w:vertAlign w:val="superscript"/>
    </w:rPr>
  </w:style>
  <w:style w:type="paragraph" w:styleId="Header">
    <w:name w:val="header"/>
    <w:basedOn w:val="Normal"/>
    <w:link w:val="HeaderChar"/>
    <w:uiPriority w:val="99"/>
    <w:unhideWhenUsed/>
    <w:rsid w:val="00491841"/>
    <w:pPr>
      <w:tabs>
        <w:tab w:val="center" w:pos="4680"/>
        <w:tab w:val="right" w:pos="9360"/>
      </w:tabs>
    </w:pPr>
  </w:style>
  <w:style w:type="character" w:customStyle="1" w:styleId="HeaderChar">
    <w:name w:val="Header Char"/>
    <w:basedOn w:val="DefaultParagraphFont"/>
    <w:link w:val="Header"/>
    <w:uiPriority w:val="99"/>
    <w:rsid w:val="00491841"/>
    <w:rPr>
      <w:rFonts w:ascii="Times New Roman" w:hAnsi="Times New Roman" w:cs="Times New Roman"/>
      <w:sz w:val="24"/>
      <w:szCs w:val="24"/>
    </w:rPr>
  </w:style>
  <w:style w:type="paragraph" w:styleId="Footer">
    <w:name w:val="footer"/>
    <w:basedOn w:val="Normal"/>
    <w:link w:val="FooterChar"/>
    <w:uiPriority w:val="99"/>
    <w:unhideWhenUsed/>
    <w:rsid w:val="00491841"/>
    <w:pPr>
      <w:tabs>
        <w:tab w:val="center" w:pos="4680"/>
        <w:tab w:val="right" w:pos="9360"/>
      </w:tabs>
    </w:pPr>
  </w:style>
  <w:style w:type="character" w:customStyle="1" w:styleId="FooterChar">
    <w:name w:val="Footer Char"/>
    <w:basedOn w:val="DefaultParagraphFont"/>
    <w:link w:val="Footer"/>
    <w:uiPriority w:val="99"/>
    <w:rsid w:val="00491841"/>
    <w:rPr>
      <w:rFonts w:ascii="Times New Roman" w:hAnsi="Times New Roman" w:cs="Times New Roman"/>
      <w:sz w:val="24"/>
      <w:szCs w:val="24"/>
    </w:rPr>
  </w:style>
  <w:style w:type="character" w:styleId="Strong">
    <w:name w:val="Strong"/>
    <w:basedOn w:val="DefaultParagraphFont"/>
    <w:uiPriority w:val="22"/>
    <w:qFormat/>
    <w:rsid w:val="00FA6A41"/>
    <w:rPr>
      <w:b/>
      <w:bCs/>
    </w:rPr>
  </w:style>
  <w:style w:type="character" w:customStyle="1" w:styleId="sssh">
    <w:name w:val="ss_sh"/>
    <w:basedOn w:val="DefaultParagraphFont"/>
    <w:rsid w:val="001601A9"/>
  </w:style>
  <w:style w:type="table" w:styleId="TableGrid">
    <w:name w:val="Table Grid"/>
    <w:basedOn w:val="TableNormal"/>
    <w:uiPriority w:val="39"/>
    <w:rsid w:val="00DF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F14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54453"/>
    <w:rPr>
      <w:color w:val="0563C1" w:themeColor="hyperlink"/>
      <w:u w:val="single"/>
    </w:rPr>
  </w:style>
  <w:style w:type="character" w:styleId="FollowedHyperlink">
    <w:name w:val="FollowedHyperlink"/>
    <w:basedOn w:val="DefaultParagraphFont"/>
    <w:uiPriority w:val="99"/>
    <w:semiHidden/>
    <w:unhideWhenUsed/>
    <w:rsid w:val="00854453"/>
    <w:rPr>
      <w:color w:val="954F72" w:themeColor="followedHyperlink"/>
      <w:u w:val="single"/>
    </w:rPr>
  </w:style>
  <w:style w:type="paragraph" w:styleId="NormalWeb">
    <w:name w:val="Normal (Web)"/>
    <w:basedOn w:val="Normal"/>
    <w:uiPriority w:val="99"/>
    <w:semiHidden/>
    <w:unhideWhenUsed/>
    <w:rsid w:val="00E22A82"/>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FE2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7581">
      <w:bodyDiv w:val="1"/>
      <w:marLeft w:val="0"/>
      <w:marRight w:val="0"/>
      <w:marTop w:val="0"/>
      <w:marBottom w:val="0"/>
      <w:divBdr>
        <w:top w:val="none" w:sz="0" w:space="0" w:color="auto"/>
        <w:left w:val="none" w:sz="0" w:space="0" w:color="auto"/>
        <w:bottom w:val="none" w:sz="0" w:space="0" w:color="auto"/>
        <w:right w:val="none" w:sz="0" w:space="0" w:color="auto"/>
      </w:divBdr>
      <w:divsChild>
        <w:div w:id="1794209764">
          <w:marLeft w:val="0"/>
          <w:marRight w:val="0"/>
          <w:marTop w:val="0"/>
          <w:marBottom w:val="0"/>
          <w:divBdr>
            <w:top w:val="none" w:sz="0" w:space="0" w:color="auto"/>
            <w:left w:val="none" w:sz="0" w:space="0" w:color="auto"/>
            <w:bottom w:val="none" w:sz="0" w:space="0" w:color="auto"/>
            <w:right w:val="none" w:sz="0" w:space="0" w:color="auto"/>
          </w:divBdr>
        </w:div>
      </w:divsChild>
    </w:div>
    <w:div w:id="635909585">
      <w:bodyDiv w:val="1"/>
      <w:marLeft w:val="0"/>
      <w:marRight w:val="0"/>
      <w:marTop w:val="0"/>
      <w:marBottom w:val="0"/>
      <w:divBdr>
        <w:top w:val="none" w:sz="0" w:space="0" w:color="auto"/>
        <w:left w:val="none" w:sz="0" w:space="0" w:color="auto"/>
        <w:bottom w:val="none" w:sz="0" w:space="0" w:color="auto"/>
        <w:right w:val="none" w:sz="0" w:space="0" w:color="auto"/>
      </w:divBdr>
    </w:div>
    <w:div w:id="847209859">
      <w:bodyDiv w:val="1"/>
      <w:marLeft w:val="0"/>
      <w:marRight w:val="0"/>
      <w:marTop w:val="0"/>
      <w:marBottom w:val="0"/>
      <w:divBdr>
        <w:top w:val="none" w:sz="0" w:space="0" w:color="auto"/>
        <w:left w:val="none" w:sz="0" w:space="0" w:color="auto"/>
        <w:bottom w:val="none" w:sz="0" w:space="0" w:color="auto"/>
        <w:right w:val="none" w:sz="0" w:space="0" w:color="auto"/>
      </w:divBdr>
      <w:divsChild>
        <w:div w:id="1379475078">
          <w:marLeft w:val="547"/>
          <w:marRight w:val="0"/>
          <w:marTop w:val="200"/>
          <w:marBottom w:val="0"/>
          <w:divBdr>
            <w:top w:val="none" w:sz="0" w:space="0" w:color="auto"/>
            <w:left w:val="none" w:sz="0" w:space="0" w:color="auto"/>
            <w:bottom w:val="none" w:sz="0" w:space="0" w:color="auto"/>
            <w:right w:val="none" w:sz="0" w:space="0" w:color="auto"/>
          </w:divBdr>
        </w:div>
        <w:div w:id="163253149">
          <w:marLeft w:val="547"/>
          <w:marRight w:val="0"/>
          <w:marTop w:val="200"/>
          <w:marBottom w:val="0"/>
          <w:divBdr>
            <w:top w:val="none" w:sz="0" w:space="0" w:color="auto"/>
            <w:left w:val="none" w:sz="0" w:space="0" w:color="auto"/>
            <w:bottom w:val="none" w:sz="0" w:space="0" w:color="auto"/>
            <w:right w:val="none" w:sz="0" w:space="0" w:color="auto"/>
          </w:divBdr>
        </w:div>
        <w:div w:id="288585510">
          <w:marLeft w:val="547"/>
          <w:marRight w:val="0"/>
          <w:marTop w:val="200"/>
          <w:marBottom w:val="0"/>
          <w:divBdr>
            <w:top w:val="none" w:sz="0" w:space="0" w:color="auto"/>
            <w:left w:val="none" w:sz="0" w:space="0" w:color="auto"/>
            <w:bottom w:val="none" w:sz="0" w:space="0" w:color="auto"/>
            <w:right w:val="none" w:sz="0" w:space="0" w:color="auto"/>
          </w:divBdr>
        </w:div>
        <w:div w:id="823618735">
          <w:marLeft w:val="547"/>
          <w:marRight w:val="0"/>
          <w:marTop w:val="200"/>
          <w:marBottom w:val="0"/>
          <w:divBdr>
            <w:top w:val="none" w:sz="0" w:space="0" w:color="auto"/>
            <w:left w:val="none" w:sz="0" w:space="0" w:color="auto"/>
            <w:bottom w:val="none" w:sz="0" w:space="0" w:color="auto"/>
            <w:right w:val="none" w:sz="0" w:space="0" w:color="auto"/>
          </w:divBdr>
        </w:div>
        <w:div w:id="620652352">
          <w:marLeft w:val="547"/>
          <w:marRight w:val="0"/>
          <w:marTop w:val="200"/>
          <w:marBottom w:val="0"/>
          <w:divBdr>
            <w:top w:val="none" w:sz="0" w:space="0" w:color="auto"/>
            <w:left w:val="none" w:sz="0" w:space="0" w:color="auto"/>
            <w:bottom w:val="none" w:sz="0" w:space="0" w:color="auto"/>
            <w:right w:val="none" w:sz="0" w:space="0" w:color="auto"/>
          </w:divBdr>
        </w:div>
        <w:div w:id="2045254776">
          <w:marLeft w:val="547"/>
          <w:marRight w:val="0"/>
          <w:marTop w:val="200"/>
          <w:marBottom w:val="0"/>
          <w:divBdr>
            <w:top w:val="none" w:sz="0" w:space="0" w:color="auto"/>
            <w:left w:val="none" w:sz="0" w:space="0" w:color="auto"/>
            <w:bottom w:val="none" w:sz="0" w:space="0" w:color="auto"/>
            <w:right w:val="none" w:sz="0" w:space="0" w:color="auto"/>
          </w:divBdr>
        </w:div>
      </w:divsChild>
    </w:div>
    <w:div w:id="1336570352">
      <w:bodyDiv w:val="1"/>
      <w:marLeft w:val="0"/>
      <w:marRight w:val="0"/>
      <w:marTop w:val="0"/>
      <w:marBottom w:val="0"/>
      <w:divBdr>
        <w:top w:val="none" w:sz="0" w:space="0" w:color="auto"/>
        <w:left w:val="none" w:sz="0" w:space="0" w:color="auto"/>
        <w:bottom w:val="none" w:sz="0" w:space="0" w:color="auto"/>
        <w:right w:val="none" w:sz="0" w:space="0" w:color="auto"/>
      </w:divBdr>
      <w:divsChild>
        <w:div w:id="2002806093">
          <w:marLeft w:val="547"/>
          <w:marRight w:val="0"/>
          <w:marTop w:val="200"/>
          <w:marBottom w:val="0"/>
          <w:divBdr>
            <w:top w:val="none" w:sz="0" w:space="0" w:color="auto"/>
            <w:left w:val="none" w:sz="0" w:space="0" w:color="auto"/>
            <w:bottom w:val="none" w:sz="0" w:space="0" w:color="auto"/>
            <w:right w:val="none" w:sz="0" w:space="0" w:color="auto"/>
          </w:divBdr>
        </w:div>
        <w:div w:id="1707214282">
          <w:marLeft w:val="1166"/>
          <w:marRight w:val="0"/>
          <w:marTop w:val="200"/>
          <w:marBottom w:val="0"/>
          <w:divBdr>
            <w:top w:val="none" w:sz="0" w:space="0" w:color="auto"/>
            <w:left w:val="none" w:sz="0" w:space="0" w:color="auto"/>
            <w:bottom w:val="none" w:sz="0" w:space="0" w:color="auto"/>
            <w:right w:val="none" w:sz="0" w:space="0" w:color="auto"/>
          </w:divBdr>
        </w:div>
        <w:div w:id="406659714">
          <w:marLeft w:val="1166"/>
          <w:marRight w:val="0"/>
          <w:marTop w:val="200"/>
          <w:marBottom w:val="0"/>
          <w:divBdr>
            <w:top w:val="none" w:sz="0" w:space="0" w:color="auto"/>
            <w:left w:val="none" w:sz="0" w:space="0" w:color="auto"/>
            <w:bottom w:val="none" w:sz="0" w:space="0" w:color="auto"/>
            <w:right w:val="none" w:sz="0" w:space="0" w:color="auto"/>
          </w:divBdr>
        </w:div>
        <w:div w:id="1474445115">
          <w:marLeft w:val="1800"/>
          <w:marRight w:val="0"/>
          <w:marTop w:val="200"/>
          <w:marBottom w:val="0"/>
          <w:divBdr>
            <w:top w:val="none" w:sz="0" w:space="0" w:color="auto"/>
            <w:left w:val="none" w:sz="0" w:space="0" w:color="auto"/>
            <w:bottom w:val="none" w:sz="0" w:space="0" w:color="auto"/>
            <w:right w:val="none" w:sz="0" w:space="0" w:color="auto"/>
          </w:divBdr>
        </w:div>
      </w:divsChild>
    </w:div>
    <w:div w:id="1729496541">
      <w:bodyDiv w:val="1"/>
      <w:marLeft w:val="0"/>
      <w:marRight w:val="0"/>
      <w:marTop w:val="0"/>
      <w:marBottom w:val="0"/>
      <w:divBdr>
        <w:top w:val="none" w:sz="0" w:space="0" w:color="auto"/>
        <w:left w:val="none" w:sz="0" w:space="0" w:color="auto"/>
        <w:bottom w:val="none" w:sz="0" w:space="0" w:color="auto"/>
        <w:right w:val="none" w:sz="0" w:space="0" w:color="auto"/>
      </w:divBdr>
    </w:div>
    <w:div w:id="19142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bar.org/content/dam/aba/migrated/dispute/docs/DisclosureChecklist.authcheckda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urts.ca.gov/documents/ethics_standards_neutral_arbitra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BBC2C-89A8-4FB0-A1A1-704BC750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11</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 Parker</dc:creator>
  <cp:keywords/>
  <dc:description/>
  <cp:lastModifiedBy>John Allen Chalk</cp:lastModifiedBy>
  <cp:revision>17</cp:revision>
  <cp:lastPrinted>2019-04-19T18:43:00Z</cp:lastPrinted>
  <dcterms:created xsi:type="dcterms:W3CDTF">2019-02-05T21:29:00Z</dcterms:created>
  <dcterms:modified xsi:type="dcterms:W3CDTF">2019-05-27T21:19:00Z</dcterms:modified>
</cp:coreProperties>
</file>